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76D09">
      <w:pPr>
        <w:numPr>
          <w:ilvl w:val="0"/>
          <w:numId w:val="1"/>
        </w:numPr>
        <w:spacing w:line="360" w:lineRule="auto"/>
        <w:jc w:val="center"/>
        <w:outlineLvl w:val="0"/>
        <w:rPr>
          <w:b/>
          <w:sz w:val="36"/>
          <w:szCs w:val="36"/>
          <w:highlight w:val="none"/>
        </w:rPr>
      </w:pPr>
      <w:bookmarkStart w:id="2" w:name="_GoBack"/>
      <w:bookmarkEnd w:id="2"/>
      <w:bookmarkStart w:id="0" w:name="_Toc99301424"/>
      <w:r>
        <w:rPr>
          <w:rFonts w:ascii="Times New Roman" w:hAnsi="Times New Roman" w:eastAsia="宋体" w:cs="Times New Roman"/>
          <w:b/>
          <w:sz w:val="36"/>
          <w:szCs w:val="36"/>
          <w:highlight w:val="none"/>
        </w:rPr>
        <w:t>采购需求</w:t>
      </w:r>
      <w:bookmarkEnd w:id="0"/>
    </w:p>
    <w:p w14:paraId="5F868216">
      <w:pPr>
        <w:widowControl w:val="0"/>
        <w:numPr>
          <w:ilvl w:val="0"/>
          <w:numId w:val="2"/>
        </w:numPr>
        <w:spacing w:line="360" w:lineRule="auto"/>
        <w:ind w:left="500" w:hanging="500" w:firstLineChars="0"/>
        <w:contextualSpacing/>
        <w:jc w:val="both"/>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采购标的</w:t>
      </w:r>
    </w:p>
    <w:p w14:paraId="4DF1B2BA">
      <w:pPr>
        <w:spacing w:line="360" w:lineRule="auto"/>
        <w:contextualSpacing/>
        <w:rPr>
          <w:rFonts w:ascii="宋体" w:hAnsi="宋体" w:eastAsia="宋体" w:cs="宋体"/>
          <w:bCs/>
          <w:sz w:val="24"/>
          <w:highlight w:val="none"/>
        </w:rPr>
      </w:pPr>
      <w:r>
        <w:rPr>
          <w:rFonts w:hint="eastAsia" w:ascii="宋体" w:hAnsi="宋体" w:eastAsia="宋体" w:cs="宋体"/>
          <w:bCs/>
          <w:sz w:val="24"/>
          <w:highlight w:val="none"/>
        </w:rPr>
        <w:t>1. 采购标的</w:t>
      </w:r>
    </w:p>
    <w:tbl>
      <w:tblPr>
        <w:tblStyle w:val="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993"/>
        <w:gridCol w:w="2173"/>
        <w:gridCol w:w="1882"/>
      </w:tblGrid>
      <w:tr w14:paraId="3B1C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52" w:type="dxa"/>
            <w:vAlign w:val="center"/>
          </w:tcPr>
          <w:p w14:paraId="118EC061">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序号</w:t>
            </w:r>
          </w:p>
        </w:tc>
        <w:tc>
          <w:tcPr>
            <w:tcW w:w="2993" w:type="dxa"/>
            <w:vAlign w:val="center"/>
          </w:tcPr>
          <w:p w14:paraId="4B5A3292">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货物或服务名称</w:t>
            </w:r>
          </w:p>
        </w:tc>
        <w:tc>
          <w:tcPr>
            <w:tcW w:w="2173" w:type="dxa"/>
            <w:vAlign w:val="center"/>
          </w:tcPr>
          <w:p w14:paraId="2DD28178">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数量</w:t>
            </w:r>
          </w:p>
        </w:tc>
        <w:tc>
          <w:tcPr>
            <w:tcW w:w="1882" w:type="dxa"/>
            <w:vAlign w:val="center"/>
          </w:tcPr>
          <w:p w14:paraId="170A59EE">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单位</w:t>
            </w:r>
          </w:p>
        </w:tc>
      </w:tr>
      <w:tr w14:paraId="327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352" w:type="dxa"/>
            <w:vAlign w:val="center"/>
          </w:tcPr>
          <w:p w14:paraId="48B81C14">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1</w:t>
            </w:r>
          </w:p>
        </w:tc>
        <w:tc>
          <w:tcPr>
            <w:tcW w:w="2993" w:type="dxa"/>
            <w:vAlign w:val="center"/>
          </w:tcPr>
          <w:p w14:paraId="51429225">
            <w:pPr>
              <w:widowControl/>
              <w:spacing w:line="360" w:lineRule="auto"/>
              <w:ind w:firstLine="480" w:firstLineChars="200"/>
              <w:rPr>
                <w:rFonts w:ascii="宋体" w:hAnsi="宋体" w:eastAsia="宋体" w:cs="宋体"/>
                <w:bCs/>
                <w:sz w:val="24"/>
                <w:highlight w:val="none"/>
              </w:rPr>
            </w:pPr>
            <w:r>
              <w:rPr>
                <w:rFonts w:hint="eastAsia" w:ascii="Times New Roman" w:hAnsi="Times New Roman" w:eastAsia="宋体" w:cs="Times New Roman"/>
                <w:sz w:val="24"/>
                <w:highlight w:val="none"/>
              </w:rPr>
              <w:t>202</w:t>
            </w: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年北京市城市管理委员会政务云租用项目-</w:t>
            </w:r>
            <w:r>
              <w:rPr>
                <w:rFonts w:hint="eastAsia" w:ascii="Times New Roman" w:hAnsi="Times New Roman" w:eastAsia="宋体" w:cs="Times New Roman"/>
                <w:bCs/>
                <w:sz w:val="24"/>
                <w:highlight w:val="none"/>
              </w:rPr>
              <w:t>二级高清、户外广告</w:t>
            </w:r>
            <w:r>
              <w:rPr>
                <w:rFonts w:hint="eastAsia" w:ascii="Times New Roman" w:hAnsi="Times New Roman" w:eastAsia="宋体" w:cs="Times New Roman"/>
                <w:bCs/>
                <w:sz w:val="24"/>
                <w:highlight w:val="none"/>
                <w:lang w:eastAsia="zh-CN"/>
              </w:rPr>
              <w:t>、地下管线等系统</w:t>
            </w:r>
          </w:p>
        </w:tc>
        <w:tc>
          <w:tcPr>
            <w:tcW w:w="2173" w:type="dxa"/>
            <w:vAlign w:val="center"/>
          </w:tcPr>
          <w:p w14:paraId="0BE92F5A">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1</w:t>
            </w:r>
          </w:p>
        </w:tc>
        <w:tc>
          <w:tcPr>
            <w:tcW w:w="1882" w:type="dxa"/>
            <w:vAlign w:val="center"/>
          </w:tcPr>
          <w:p w14:paraId="770647D6">
            <w:pPr>
              <w:adjustRightInd w:val="0"/>
              <w:jc w:val="center"/>
              <w:textAlignment w:val="baseline"/>
              <w:rPr>
                <w:rFonts w:ascii="宋体" w:hAnsi="宋体" w:eastAsia="宋体" w:cs="宋体"/>
                <w:bCs/>
                <w:sz w:val="24"/>
                <w:highlight w:val="none"/>
              </w:rPr>
            </w:pPr>
            <w:r>
              <w:rPr>
                <w:rFonts w:hint="eastAsia" w:ascii="宋体" w:hAnsi="宋体" w:eastAsia="宋体" w:cs="宋体"/>
                <w:bCs/>
                <w:sz w:val="24"/>
                <w:highlight w:val="none"/>
              </w:rPr>
              <w:t>项</w:t>
            </w:r>
          </w:p>
        </w:tc>
      </w:tr>
    </w:tbl>
    <w:p w14:paraId="70A3EE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eastAsia="宋体" w:cs="宋体"/>
          <w:bCs/>
          <w:sz w:val="24"/>
          <w:highlight w:val="none"/>
        </w:rPr>
      </w:pPr>
      <w:r>
        <w:rPr>
          <w:rFonts w:hint="eastAsia" w:ascii="宋体" w:hAnsi="宋体" w:eastAsia="宋体" w:cs="宋体"/>
          <w:bCs/>
          <w:sz w:val="24"/>
          <w:highlight w:val="none"/>
        </w:rPr>
        <w:t>2. 项目背景</w:t>
      </w:r>
    </w:p>
    <w:p w14:paraId="5A25EA27">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rPr>
      </w:pPr>
      <w:r>
        <w:rPr>
          <w:rFonts w:hint="eastAsia" w:ascii="宋体" w:hAnsi="宋体" w:eastAsia="宋体" w:cs="宋体"/>
          <w:bCs/>
          <w:sz w:val="24"/>
          <w:highlight w:val="none"/>
        </w:rPr>
        <w:t>北京市城市管理委员会是负责北京市城市管理、城乡环境建设的综合协调和市容环境卫生管理、能源日常运行管理、相关市政公用事业管理的市政府组成部门。本次项目采购单位为北京市城市运行管理事务中心，北京市城市运行管理事务中心是北京市城市管理委员会的直属事业单位，承担本市城市管理“一网统管”相关平台建设、运行和数据信息管理等具体工作；负责城市运行智能感知体系建设、城市运行态势与数据监测、分析、预警等事务性工作；承担能源运行、户外广告以及安全生产、应急值守、“接诉即办”等城市运行领域的事务性工作。按照城市运行一网统管的要求，实行集约化建设，以构建安全稳定高效的信息化基础环境，运用物联网、云计算、大数据等信息技术，加强信息资源共享开放，不断提高网络安全防护水平，提升应急响应、事件快速处置能力，加强安全监控，确保信息系统安全稳定运行。</w:t>
      </w:r>
    </w:p>
    <w:p w14:paraId="6E356D95">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eastAsia="宋体" w:cs="宋体"/>
          <w:bCs/>
          <w:sz w:val="24"/>
          <w:highlight w:val="none"/>
        </w:rPr>
      </w:pPr>
      <w:r>
        <w:rPr>
          <w:rFonts w:hint="eastAsia" w:ascii="宋体" w:hAnsi="宋体" w:eastAsia="宋体" w:cs="宋体"/>
          <w:bCs/>
          <w:sz w:val="24"/>
          <w:highlight w:val="none"/>
        </w:rPr>
        <w:t>3. 信息系统清单</w:t>
      </w:r>
    </w:p>
    <w:tbl>
      <w:tblPr>
        <w:tblStyle w:val="3"/>
        <w:tblW w:w="8346" w:type="dxa"/>
        <w:jc w:val="center"/>
        <w:tblLayout w:type="fixed"/>
        <w:tblCellMar>
          <w:top w:w="0" w:type="dxa"/>
          <w:left w:w="108" w:type="dxa"/>
          <w:bottom w:w="0" w:type="dxa"/>
          <w:right w:w="108" w:type="dxa"/>
        </w:tblCellMar>
      </w:tblPr>
      <w:tblGrid>
        <w:gridCol w:w="1295"/>
        <w:gridCol w:w="7051"/>
      </w:tblGrid>
      <w:tr w14:paraId="5D2F7FA2">
        <w:tblPrEx>
          <w:tblCellMar>
            <w:top w:w="0" w:type="dxa"/>
            <w:left w:w="108" w:type="dxa"/>
            <w:bottom w:w="0" w:type="dxa"/>
            <w:right w:w="108" w:type="dxa"/>
          </w:tblCellMar>
        </w:tblPrEx>
        <w:trPr>
          <w:trHeight w:val="490"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6D95E721">
            <w:pPr>
              <w:widowControl/>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lang w:bidi="ar"/>
              </w:rPr>
              <w:t>序号</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0355A0B4">
            <w:pPr>
              <w:widowControl/>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lang w:eastAsia="zh-CN" w:bidi="ar"/>
              </w:rPr>
              <w:t>信息</w:t>
            </w:r>
            <w:r>
              <w:rPr>
                <w:rFonts w:hint="eastAsia" w:ascii="宋体" w:hAnsi="宋体" w:eastAsia="宋体" w:cs="宋体"/>
                <w:b/>
                <w:bCs/>
                <w:color w:val="000000"/>
                <w:kern w:val="0"/>
                <w:sz w:val="24"/>
                <w:highlight w:val="none"/>
                <w:lang w:bidi="ar"/>
              </w:rPr>
              <w:t>系统名称</w:t>
            </w:r>
          </w:p>
        </w:tc>
      </w:tr>
      <w:tr w14:paraId="34764F79">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19DEBA6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51B572CF">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北京市城市管理委二级高清视频联网共享</w:t>
            </w:r>
            <w:r>
              <w:rPr>
                <w:rFonts w:hint="eastAsia" w:ascii="宋体" w:hAnsi="宋体" w:eastAsia="宋体" w:cs="宋体"/>
                <w:color w:val="000000"/>
                <w:kern w:val="0"/>
                <w:sz w:val="24"/>
                <w:highlight w:val="none"/>
                <w:lang w:eastAsia="zh-CN" w:bidi="ar"/>
              </w:rPr>
              <w:t>系统</w:t>
            </w:r>
          </w:p>
        </w:tc>
      </w:tr>
      <w:tr w14:paraId="4ACD1A61">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3251ED1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17DE52F9">
            <w:pPr>
              <w:widowControl/>
              <w:jc w:val="center"/>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基于大数据的全市户外广告牌匾标识信息管理系统</w:t>
            </w:r>
          </w:p>
        </w:tc>
      </w:tr>
      <w:tr w14:paraId="36C9D278">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17390D8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4E34287F">
            <w:pPr>
              <w:widowControl/>
              <w:jc w:val="center"/>
              <w:textAlignment w:val="center"/>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bidi="ar"/>
              </w:rPr>
              <w:t>北京市地下管线运行综合管理信息</w:t>
            </w:r>
            <w:r>
              <w:rPr>
                <w:rFonts w:hint="eastAsia" w:ascii="宋体" w:hAnsi="宋体" w:eastAsia="宋体" w:cs="宋体"/>
                <w:color w:val="000000"/>
                <w:kern w:val="0"/>
                <w:sz w:val="24"/>
                <w:highlight w:val="none"/>
                <w:lang w:eastAsia="zh-CN" w:bidi="ar"/>
              </w:rPr>
              <w:t>系统</w:t>
            </w:r>
          </w:p>
        </w:tc>
      </w:tr>
      <w:tr w14:paraId="0B58F01A">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76A90B59">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723B5585">
            <w:pPr>
              <w:widowControl/>
              <w:jc w:val="center"/>
              <w:textAlignment w:val="center"/>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bidi="ar"/>
              </w:rPr>
              <w:t>北京市电力行业管理综合服务</w:t>
            </w:r>
            <w:r>
              <w:rPr>
                <w:rFonts w:hint="eastAsia" w:ascii="宋体" w:hAnsi="宋体" w:eastAsia="宋体" w:cs="宋体"/>
                <w:color w:val="000000"/>
                <w:kern w:val="0"/>
                <w:sz w:val="24"/>
                <w:highlight w:val="none"/>
                <w:lang w:eastAsia="zh-CN" w:bidi="ar"/>
              </w:rPr>
              <w:t>系统</w:t>
            </w:r>
          </w:p>
        </w:tc>
      </w:tr>
      <w:tr w14:paraId="64956D2E">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4B41B5E5">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0CEA79E2">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基于大数据应用的北京供热服务综合信息管理</w:t>
            </w:r>
            <w:r>
              <w:rPr>
                <w:rFonts w:hint="eastAsia" w:ascii="宋体" w:hAnsi="宋体" w:eastAsia="宋体" w:cs="宋体"/>
                <w:color w:val="000000"/>
                <w:kern w:val="0"/>
                <w:sz w:val="24"/>
                <w:highlight w:val="none"/>
                <w:lang w:eastAsia="zh-CN" w:bidi="ar"/>
              </w:rPr>
              <w:t>系统</w:t>
            </w:r>
          </w:p>
        </w:tc>
      </w:tr>
      <w:tr w14:paraId="3DF2F4DD">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1E19B0C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13621FE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数字化项目管理信息系统</w:t>
            </w:r>
          </w:p>
        </w:tc>
      </w:tr>
      <w:tr w14:paraId="75DEB197">
        <w:tblPrEx>
          <w:tblCellMar>
            <w:top w:w="0" w:type="dxa"/>
            <w:left w:w="108" w:type="dxa"/>
            <w:bottom w:w="0" w:type="dxa"/>
            <w:right w:w="108" w:type="dxa"/>
          </w:tblCellMar>
        </w:tblPrEx>
        <w:trPr>
          <w:trHeight w:val="283" w:hRule="atLeast"/>
          <w:jc w:val="center"/>
        </w:trPr>
        <w:tc>
          <w:tcPr>
            <w:tcW w:w="1295" w:type="dxa"/>
            <w:tcBorders>
              <w:top w:val="single" w:color="000000" w:sz="4" w:space="0"/>
              <w:left w:val="single" w:color="000000" w:sz="4" w:space="0"/>
              <w:bottom w:val="single" w:color="000000" w:sz="4" w:space="0"/>
              <w:right w:val="single" w:color="000000" w:sz="4" w:space="0"/>
            </w:tcBorders>
            <w:noWrap/>
            <w:vAlign w:val="center"/>
          </w:tcPr>
          <w:p w14:paraId="37959E3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bidi="ar"/>
              </w:rPr>
              <w:t>7</w:t>
            </w:r>
          </w:p>
        </w:tc>
        <w:tc>
          <w:tcPr>
            <w:tcW w:w="7051" w:type="dxa"/>
            <w:tcBorders>
              <w:top w:val="single" w:color="000000" w:sz="4" w:space="0"/>
              <w:left w:val="single" w:color="000000" w:sz="4" w:space="0"/>
              <w:bottom w:val="single" w:color="000000" w:sz="4" w:space="0"/>
              <w:right w:val="single" w:color="000000" w:sz="4" w:space="0"/>
            </w:tcBorders>
            <w:noWrap/>
            <w:vAlign w:val="center"/>
          </w:tcPr>
          <w:p w14:paraId="66C698B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北京市石油天然气管道保护管理信息系统</w:t>
            </w:r>
          </w:p>
        </w:tc>
      </w:tr>
    </w:tbl>
    <w:p w14:paraId="5F41C67D">
      <w:pPr>
        <w:widowControl w:val="0"/>
        <w:ind w:firstLine="480"/>
        <w:jc w:val="both"/>
        <w:rPr>
          <w:rFonts w:ascii="宋体" w:hAnsi="宋体" w:eastAsia="宋体" w:cs="宋体"/>
          <w:kern w:val="2"/>
          <w:sz w:val="24"/>
          <w:szCs w:val="24"/>
          <w:highlight w:val="none"/>
          <w:lang w:val="en-US" w:eastAsia="zh-CN" w:bidi="ar-SA"/>
        </w:rPr>
      </w:pPr>
    </w:p>
    <w:p w14:paraId="27769DC5">
      <w:pPr>
        <w:keepNext w:val="0"/>
        <w:keepLines w:val="0"/>
        <w:pageBreakBefore w:val="0"/>
        <w:widowControl w:val="0"/>
        <w:numPr>
          <w:ilvl w:val="0"/>
          <w:numId w:val="2"/>
        </w:numPr>
        <w:kinsoku/>
        <w:wordWrap/>
        <w:overflowPunct/>
        <w:topLinePunct w:val="0"/>
        <w:autoSpaceDE/>
        <w:autoSpaceDN/>
        <w:bidi w:val="0"/>
        <w:adjustRightInd/>
        <w:spacing w:line="400" w:lineRule="exact"/>
        <w:ind w:left="500" w:hanging="500" w:firstLineChars="0"/>
        <w:contextualSpacing/>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商务要求</w:t>
      </w:r>
    </w:p>
    <w:p w14:paraId="534873D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eastAsia="宋体" w:cs="宋体"/>
          <w:i/>
          <w:sz w:val="24"/>
          <w:highlight w:val="none"/>
        </w:rPr>
      </w:pPr>
      <w:r>
        <w:rPr>
          <w:rFonts w:hint="eastAsia" w:ascii="宋体" w:hAnsi="宋体" w:eastAsia="宋体" w:cs="宋体"/>
          <w:sz w:val="24"/>
          <w:highlight w:val="none"/>
        </w:rPr>
        <w:t>1. 实施期限和地点</w:t>
      </w:r>
    </w:p>
    <w:p w14:paraId="1C3FB70B">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rPr>
      </w:pPr>
      <w:r>
        <w:rPr>
          <w:rFonts w:hint="eastAsia" w:ascii="宋体" w:hAnsi="宋体" w:eastAsia="宋体" w:cs="宋体"/>
          <w:bCs/>
          <w:sz w:val="24"/>
          <w:highlight w:val="none"/>
        </w:rPr>
        <w:t>实施期限：一年</w:t>
      </w:r>
    </w:p>
    <w:p w14:paraId="1ED658A8">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i/>
          <w:sz w:val="24"/>
          <w:highlight w:val="none"/>
        </w:rPr>
      </w:pPr>
      <w:r>
        <w:rPr>
          <w:rFonts w:hint="eastAsia" w:ascii="宋体" w:hAnsi="宋体" w:eastAsia="宋体" w:cs="宋体"/>
          <w:bCs/>
          <w:sz w:val="24"/>
          <w:highlight w:val="none"/>
        </w:rPr>
        <w:t>实施地点：采购人指定地点</w:t>
      </w:r>
    </w:p>
    <w:p w14:paraId="3CB545A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2. 付款条件（进度和方式）</w:t>
      </w:r>
    </w:p>
    <w:p w14:paraId="0DEC0817">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本项目分2次支付项目款：</w:t>
      </w:r>
    </w:p>
    <w:p w14:paraId="2A1BC074">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2.1签订合同后，在执行期开始前，采购人向中标人支付合同总金额的60%；</w:t>
      </w:r>
    </w:p>
    <w:p w14:paraId="5316DFAF">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2.2项目执行期满，中标人提供本协议项下的全部服务内容并经采购人最终验收合格后二十（20）个工作日内，采购人向中标人支付合同总金额的40%。</w:t>
      </w:r>
    </w:p>
    <w:p w14:paraId="428DE16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3.售后服务</w:t>
      </w:r>
    </w:p>
    <w:p w14:paraId="7BBF38AE">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en-US" w:eastAsia="zh-CN"/>
        </w:rPr>
        <w:t>中</w:t>
      </w:r>
      <w:r>
        <w:rPr>
          <w:rFonts w:hint="eastAsia" w:ascii="宋体" w:hAnsi="宋体" w:eastAsia="宋体" w:cs="宋体"/>
          <w:bCs/>
          <w:sz w:val="24"/>
          <w:highlight w:val="none"/>
          <w:lang w:val="zh-CN"/>
        </w:rPr>
        <w:t>标人应成立专门的技术支持和售后服务小组，提供完善周到的本地化服务，具有7*24小时的维护支持能力以及优先服务级别。</w:t>
      </w:r>
      <w:r>
        <w:rPr>
          <w:rFonts w:hint="eastAsia" w:ascii="宋体" w:hAnsi="宋体" w:eastAsia="宋体" w:cs="宋体"/>
          <w:bCs/>
          <w:sz w:val="24"/>
          <w:highlight w:val="none"/>
          <w:lang w:val="en-US" w:eastAsia="zh-CN"/>
        </w:rPr>
        <w:t>中</w:t>
      </w:r>
      <w:r>
        <w:rPr>
          <w:rFonts w:hint="eastAsia" w:ascii="宋体" w:hAnsi="宋体" w:eastAsia="宋体" w:cs="宋体"/>
          <w:bCs/>
          <w:sz w:val="24"/>
          <w:highlight w:val="none"/>
          <w:lang w:val="zh-CN"/>
        </w:rPr>
        <w:t>标人应提供具体的技术支持和售后服务方案。</w:t>
      </w:r>
    </w:p>
    <w:p w14:paraId="09820BA3">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自租用期始至服务期止，需向采购人提供以下两方面内容。</w:t>
      </w:r>
    </w:p>
    <w:p w14:paraId="299C979A">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en-US" w:eastAsia="zh-CN"/>
        </w:rPr>
        <w:t>3.1</w:t>
      </w:r>
      <w:r>
        <w:rPr>
          <w:rFonts w:hint="eastAsia" w:ascii="宋体" w:hAnsi="宋体" w:eastAsia="宋体" w:cs="宋体"/>
          <w:bCs/>
          <w:sz w:val="24"/>
          <w:highlight w:val="none"/>
          <w:lang w:val="zh-CN"/>
        </w:rPr>
        <w:t>定期向采购人提供月度服务报告。</w:t>
      </w:r>
    </w:p>
    <w:p w14:paraId="2A06C2FE">
      <w:pPr>
        <w:keepNext w:val="0"/>
        <w:keepLines w:val="0"/>
        <w:pageBreakBefore w:val="0"/>
        <w:widowControl w:val="0"/>
        <w:kinsoku/>
        <w:wordWrap/>
        <w:overflowPunct/>
        <w:topLinePunct w:val="0"/>
        <w:autoSpaceDE/>
        <w:autoSpaceDN/>
        <w:bidi w:val="0"/>
        <w:adjustRightInd/>
        <w:snapToGrid/>
        <w:spacing w:line="400" w:lineRule="exact"/>
        <w:ind w:firstLine="420" w:firstLineChars="175"/>
        <w:textAlignment w:val="auto"/>
        <w:rPr>
          <w:rFonts w:ascii="宋体" w:hAnsi="宋体" w:eastAsia="宋体" w:cs="宋体"/>
          <w:bCs/>
          <w:sz w:val="24"/>
          <w:highlight w:val="none"/>
        </w:rPr>
      </w:pPr>
      <w:r>
        <w:rPr>
          <w:rFonts w:hint="eastAsia" w:ascii="宋体" w:hAnsi="宋体" w:eastAsia="宋体" w:cs="宋体"/>
          <w:bCs/>
          <w:sz w:val="24"/>
          <w:highlight w:val="none"/>
          <w:lang w:val="en-US" w:eastAsia="zh-CN"/>
        </w:rPr>
        <w:t>3.2</w:t>
      </w:r>
      <w:r>
        <w:rPr>
          <w:rFonts w:hint="eastAsia" w:ascii="宋体" w:hAnsi="宋体" w:eastAsia="宋体" w:cs="宋体"/>
          <w:bCs/>
          <w:sz w:val="24"/>
          <w:highlight w:val="none"/>
          <w:lang w:val="zh-CN"/>
        </w:rPr>
        <w:t>至少提前一天通知即将进行的，与采购人系统运行相关的安全事件、项目施工、功能或者性能调整工作。</w:t>
      </w:r>
    </w:p>
    <w:p w14:paraId="0AF42DE8">
      <w:pPr>
        <w:keepNext w:val="0"/>
        <w:keepLines w:val="0"/>
        <w:pageBreakBefore w:val="0"/>
        <w:widowControl w:val="0"/>
        <w:numPr>
          <w:ilvl w:val="0"/>
          <w:numId w:val="2"/>
        </w:numPr>
        <w:kinsoku/>
        <w:wordWrap/>
        <w:overflowPunct/>
        <w:topLinePunct w:val="0"/>
        <w:autoSpaceDE/>
        <w:autoSpaceDN/>
        <w:bidi w:val="0"/>
        <w:adjustRightInd/>
        <w:spacing w:line="400" w:lineRule="exact"/>
        <w:ind w:left="500" w:hanging="500" w:firstLineChars="0"/>
        <w:contextualSpacing/>
        <w:jc w:val="both"/>
        <w:textAlignment w:val="auto"/>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技术要求</w:t>
      </w:r>
    </w:p>
    <w:p w14:paraId="136A1B4D">
      <w:pPr>
        <w:keepNext w:val="0"/>
        <w:keepLines w:val="0"/>
        <w:pageBreakBefore w:val="0"/>
        <w:numPr>
          <w:ilvl w:val="0"/>
          <w:numId w:val="3"/>
        </w:numPr>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基本要求</w:t>
      </w:r>
    </w:p>
    <w:p w14:paraId="70D3A3CE">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1.1项目基本信息</w:t>
      </w:r>
    </w:p>
    <w:p w14:paraId="728FE4FD">
      <w:pPr>
        <w:keepNext w:val="0"/>
        <w:keepLines w:val="0"/>
        <w:pageBreakBefore w:val="0"/>
        <w:kinsoku/>
        <w:wordWrap/>
        <w:overflowPunct/>
        <w:topLinePunct w:val="0"/>
        <w:autoSpaceDE/>
        <w:autoSpaceDN/>
        <w:bidi w:val="0"/>
        <w:adjustRightInd/>
        <w:spacing w:line="400" w:lineRule="exact"/>
        <w:ind w:left="960" w:hanging="960" w:hangingChars="400"/>
        <w:textAlignment w:val="auto"/>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Times New Roman" w:hAnsi="Times New Roman" w:eastAsia="宋体" w:cs="Times New Roman"/>
          <w:sz w:val="24"/>
          <w:highlight w:val="none"/>
        </w:rPr>
        <w:t>202</w:t>
      </w: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年北京市城市管理委员会政务云租用项目-</w:t>
      </w:r>
      <w:r>
        <w:rPr>
          <w:rFonts w:hint="eastAsia" w:ascii="Times New Roman" w:hAnsi="Times New Roman" w:eastAsia="宋体" w:cs="Times New Roman"/>
          <w:bCs/>
          <w:sz w:val="24"/>
          <w:highlight w:val="none"/>
        </w:rPr>
        <w:t>二级高清、户外广告</w:t>
      </w:r>
      <w:r>
        <w:rPr>
          <w:rFonts w:hint="eastAsia" w:ascii="Times New Roman" w:hAnsi="Times New Roman" w:eastAsia="宋体" w:cs="Times New Roman"/>
          <w:bCs/>
          <w:sz w:val="24"/>
          <w:highlight w:val="none"/>
          <w:lang w:eastAsia="zh-CN"/>
        </w:rPr>
        <w:t>、地下管线等系统</w:t>
      </w:r>
    </w:p>
    <w:p w14:paraId="558DC7FF">
      <w:pPr>
        <w:keepNext w:val="0"/>
        <w:keepLines w:val="0"/>
        <w:pageBreakBefore w:val="0"/>
        <w:widowControl w:val="0"/>
        <w:kinsoku/>
        <w:wordWrap/>
        <w:overflowPunct/>
        <w:topLinePunct w:val="0"/>
        <w:autoSpaceDE/>
        <w:autoSpaceDN/>
        <w:bidi w:val="0"/>
        <w:adjustRightInd/>
        <w:spacing w:line="400" w:lineRule="exact"/>
        <w:ind w:firstLine="482" w:firstLineChars="200"/>
        <w:jc w:val="both"/>
        <w:textAlignment w:val="auto"/>
        <w:rPr>
          <w:rFonts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预算金额：</w:t>
      </w:r>
      <w:r>
        <w:rPr>
          <w:rFonts w:hint="eastAsia" w:ascii="宋体" w:hAnsi="宋体" w:eastAsia="宋体" w:cs="宋体"/>
          <w:b/>
          <w:bCs/>
          <w:kern w:val="2"/>
          <w:sz w:val="24"/>
          <w:szCs w:val="24"/>
          <w:highlight w:val="none"/>
          <w:u w:val="single"/>
          <w:lang w:val="en-US" w:eastAsia="zh-CN" w:bidi="ar-SA"/>
        </w:rPr>
        <w:t>363</w:t>
      </w:r>
      <w:r>
        <w:rPr>
          <w:rFonts w:ascii="宋体" w:hAnsi="宋体" w:eastAsia="宋体" w:cs="宋体"/>
          <w:b/>
          <w:bCs/>
          <w:kern w:val="2"/>
          <w:sz w:val="24"/>
          <w:szCs w:val="24"/>
          <w:highlight w:val="none"/>
          <w:u w:val="single"/>
          <w:lang w:val="en-US" w:eastAsia="zh-CN" w:bidi="ar-SA"/>
        </w:rPr>
        <w:t>.</w:t>
      </w:r>
      <w:r>
        <w:rPr>
          <w:rFonts w:hint="eastAsia" w:ascii="宋体" w:hAnsi="宋体" w:eastAsia="宋体" w:cs="宋体"/>
          <w:b/>
          <w:bCs/>
          <w:kern w:val="2"/>
          <w:sz w:val="24"/>
          <w:szCs w:val="24"/>
          <w:highlight w:val="none"/>
          <w:u w:val="single"/>
          <w:lang w:val="en-US" w:eastAsia="zh-CN" w:bidi="ar-SA"/>
        </w:rPr>
        <w:t>21</w:t>
      </w:r>
      <w:r>
        <w:rPr>
          <w:rFonts w:ascii="宋体" w:hAnsi="宋体" w:eastAsia="宋体" w:cs="宋体"/>
          <w:b/>
          <w:bCs/>
          <w:kern w:val="2"/>
          <w:sz w:val="24"/>
          <w:szCs w:val="24"/>
          <w:highlight w:val="none"/>
          <w:u w:val="single"/>
          <w:lang w:val="en-US" w:eastAsia="zh-CN" w:bidi="ar-SA"/>
        </w:rPr>
        <w:t>万元</w:t>
      </w:r>
      <w:r>
        <w:rPr>
          <w:rFonts w:hint="eastAsia" w:ascii="宋体" w:hAnsi="宋体" w:eastAsia="宋体" w:cs="宋体"/>
          <w:b/>
          <w:bCs/>
          <w:kern w:val="2"/>
          <w:sz w:val="24"/>
          <w:szCs w:val="24"/>
          <w:highlight w:val="none"/>
          <w:lang w:val="en-US" w:eastAsia="zh-CN" w:bidi="ar-SA"/>
        </w:rPr>
        <w:t>，其中包括政务云租用云计算资源预算</w:t>
      </w:r>
      <w:r>
        <w:rPr>
          <w:rFonts w:ascii="宋体" w:hAnsi="宋体" w:eastAsia="宋体" w:cs="宋体"/>
          <w:b/>
          <w:bCs/>
          <w:kern w:val="2"/>
          <w:sz w:val="24"/>
          <w:szCs w:val="24"/>
          <w:highlight w:val="none"/>
          <w:lang w:val="en-US" w:eastAsia="zh-CN" w:bidi="ar-SA"/>
        </w:rPr>
        <w:t>:</w:t>
      </w:r>
      <w:r>
        <w:rPr>
          <w:rFonts w:hint="eastAsia" w:ascii="宋体" w:hAnsi="宋体" w:eastAsia="宋体" w:cs="宋体"/>
          <w:b/>
          <w:bCs/>
          <w:kern w:val="2"/>
          <w:sz w:val="24"/>
          <w:szCs w:val="24"/>
          <w:highlight w:val="none"/>
          <w:u w:val="single"/>
          <w:lang w:val="en-US" w:eastAsia="zh-CN" w:bidi="ar-SA"/>
        </w:rPr>
        <w:t>212.86</w:t>
      </w:r>
      <w:r>
        <w:rPr>
          <w:rFonts w:ascii="宋体" w:hAnsi="宋体" w:eastAsia="宋体" w:cs="宋体"/>
          <w:b/>
          <w:bCs/>
          <w:kern w:val="2"/>
          <w:sz w:val="24"/>
          <w:szCs w:val="24"/>
          <w:highlight w:val="none"/>
          <w:u w:val="single"/>
          <w:lang w:val="en-US" w:eastAsia="zh-CN" w:bidi="ar-SA"/>
        </w:rPr>
        <w:t>万元</w:t>
      </w:r>
      <w:r>
        <w:rPr>
          <w:rFonts w:hint="eastAsia" w:ascii="宋体" w:hAnsi="宋体" w:eastAsia="宋体" w:cs="宋体"/>
          <w:b/>
          <w:bCs/>
          <w:kern w:val="2"/>
          <w:sz w:val="24"/>
          <w:szCs w:val="24"/>
          <w:highlight w:val="none"/>
          <w:lang w:val="en-US" w:eastAsia="zh-CN" w:bidi="ar-SA"/>
        </w:rPr>
        <w:t>，政务云租用扩展资源预算</w:t>
      </w:r>
      <w:r>
        <w:rPr>
          <w:rFonts w:ascii="宋体" w:hAnsi="宋体" w:eastAsia="宋体" w:cs="宋体"/>
          <w:b/>
          <w:bCs/>
          <w:kern w:val="2"/>
          <w:sz w:val="24"/>
          <w:szCs w:val="24"/>
          <w:highlight w:val="none"/>
          <w:lang w:val="en-US" w:eastAsia="zh-CN" w:bidi="ar-SA"/>
        </w:rPr>
        <w:t>:</w:t>
      </w:r>
      <w:r>
        <w:rPr>
          <w:rFonts w:hint="eastAsia" w:ascii="宋体" w:hAnsi="宋体" w:eastAsia="宋体" w:cs="宋体"/>
          <w:b/>
          <w:bCs/>
          <w:kern w:val="2"/>
          <w:sz w:val="24"/>
          <w:szCs w:val="24"/>
          <w:highlight w:val="none"/>
          <w:u w:val="single"/>
          <w:lang w:val="en-US" w:eastAsia="zh-CN" w:bidi="ar-SA"/>
        </w:rPr>
        <w:t>150.35</w:t>
      </w:r>
      <w:r>
        <w:rPr>
          <w:rFonts w:ascii="宋体" w:hAnsi="宋体" w:eastAsia="宋体" w:cs="宋体"/>
          <w:b/>
          <w:bCs/>
          <w:kern w:val="2"/>
          <w:sz w:val="24"/>
          <w:szCs w:val="24"/>
          <w:highlight w:val="none"/>
          <w:u w:val="single"/>
          <w:lang w:val="en-US" w:eastAsia="zh-CN" w:bidi="ar-SA"/>
        </w:rPr>
        <w:t>万元</w:t>
      </w:r>
      <w:r>
        <w:rPr>
          <w:rFonts w:hint="eastAsia" w:ascii="宋体" w:hAnsi="宋体" w:eastAsia="宋体" w:cs="宋体"/>
          <w:b/>
          <w:bCs/>
          <w:kern w:val="2"/>
          <w:sz w:val="24"/>
          <w:szCs w:val="24"/>
          <w:highlight w:val="none"/>
          <w:lang w:val="en-US" w:eastAsia="zh-CN" w:bidi="ar-SA"/>
        </w:rPr>
        <w:t>。</w:t>
      </w:r>
    </w:p>
    <w:p w14:paraId="5179BC4F">
      <w:pPr>
        <w:keepNext w:val="0"/>
        <w:keepLines w:val="0"/>
        <w:pageBreakBefore w:val="0"/>
        <w:widowControl w:val="0"/>
        <w:kinsoku/>
        <w:wordWrap/>
        <w:overflowPunct/>
        <w:topLinePunct w:val="0"/>
        <w:autoSpaceDE/>
        <w:autoSpaceDN/>
        <w:bidi w:val="0"/>
        <w:adjustRightInd/>
        <w:spacing w:line="400" w:lineRule="exact"/>
        <w:ind w:firstLine="482" w:firstLineChars="200"/>
        <w:jc w:val="both"/>
        <w:textAlignment w:val="auto"/>
        <w:rPr>
          <w:rFonts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★注：投标报价必须按政务云租用云计算资源部分和政务云租用扩展资源部分分别进行报价，且不得超出各自预算，否则按无效投标处理。</w:t>
      </w:r>
    </w:p>
    <w:p w14:paraId="728BD89B">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1.2项目目标</w:t>
      </w:r>
    </w:p>
    <w:p w14:paraId="399E6D30">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为北京市城市管理委员会已入云的北京市城市管理委二级高清视频联网共享等系统提供政务云租用服务，通过配置北京市政务云的计算服务、存储服务、网络服务等各类服务，满足云上信息系统的基础运行环境需求。同时，通过开展基础软件支撑租用服务、安全监测及防护</w:t>
      </w:r>
      <w:r>
        <w:rPr>
          <w:rFonts w:hint="eastAsia" w:ascii="宋体" w:hAnsi="宋体" w:eastAsia="宋体" w:cs="宋体"/>
          <w:bCs/>
          <w:sz w:val="24"/>
          <w:highlight w:val="none"/>
          <w:lang w:eastAsia="zh-CN"/>
        </w:rPr>
        <w:t>等</w:t>
      </w:r>
      <w:r>
        <w:rPr>
          <w:rFonts w:hint="eastAsia" w:ascii="宋体" w:hAnsi="宋体" w:eastAsia="宋体" w:cs="宋体"/>
          <w:bCs/>
          <w:sz w:val="24"/>
          <w:highlight w:val="none"/>
        </w:rPr>
        <w:t>服务，完成信息系统的日常运维和安全运维服务工作，确保系统在云上安全、稳定运行。</w:t>
      </w:r>
    </w:p>
    <w:p w14:paraId="24381EDB">
      <w:pPr>
        <w:keepNext w:val="0"/>
        <w:keepLines w:val="0"/>
        <w:pageBreakBefore w:val="0"/>
        <w:numPr>
          <w:ilvl w:val="0"/>
          <w:numId w:val="3"/>
        </w:numPr>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服务内容</w:t>
      </w:r>
    </w:p>
    <w:p w14:paraId="2B69DF48">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2.1内容概述</w:t>
      </w:r>
    </w:p>
    <w:p w14:paraId="6E345A5D">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政务云租用项目包括计算服务、存储服务、网络服务、基础软件</w:t>
      </w:r>
      <w:r>
        <w:rPr>
          <w:rFonts w:hint="eastAsia" w:ascii="宋体" w:hAnsi="宋体" w:eastAsia="宋体" w:cs="宋体"/>
          <w:bCs/>
          <w:sz w:val="24"/>
          <w:highlight w:val="none"/>
          <w:lang w:eastAsia="zh-CN"/>
        </w:rPr>
        <w:t>支撑服务</w:t>
      </w:r>
      <w:r>
        <w:rPr>
          <w:rFonts w:hint="eastAsia" w:ascii="宋体" w:hAnsi="宋体" w:eastAsia="宋体" w:cs="宋体"/>
          <w:bCs/>
          <w:sz w:val="24"/>
          <w:highlight w:val="none"/>
        </w:rPr>
        <w:t>、安全监测及防护服务和数据库及其它等。</w:t>
      </w:r>
    </w:p>
    <w:p w14:paraId="3FE9729C">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（1）计算服务</w:t>
      </w:r>
    </w:p>
    <w:p w14:paraId="16BC5F4D">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为北京市城市管理委员会部署在政务云平台中的信息系统提供平台云主机和物理服务器租用服务。</w:t>
      </w:r>
    </w:p>
    <w:p w14:paraId="3CA53359">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（2）存储服务</w:t>
      </w:r>
    </w:p>
    <w:p w14:paraId="651BAD19">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选择普通存储存放备份数据，选择高性能存储存放业务数据，选择静态存储存放图片、视频监控等非结构化数据。其中，高性能存储采用双活存储，解决</w:t>
      </w:r>
      <w:r>
        <w:rPr>
          <w:rFonts w:hint="eastAsia" w:ascii="宋体" w:hAnsi="宋体" w:eastAsia="宋体" w:cs="宋体"/>
          <w:bCs/>
          <w:sz w:val="24"/>
          <w:highlight w:val="none"/>
          <w:lang w:eastAsia="zh-CN"/>
        </w:rPr>
        <w:t>数据中心</w:t>
      </w:r>
      <w:r>
        <w:rPr>
          <w:rFonts w:hint="eastAsia" w:ascii="宋体" w:hAnsi="宋体" w:eastAsia="宋体" w:cs="宋体"/>
          <w:bCs/>
          <w:sz w:val="24"/>
          <w:highlight w:val="none"/>
        </w:rPr>
        <w:t>存储单点故障导致业务停顿和数据丢失的问题；普通存储采用分布式文件系统通过数据保护技术将数据保存在不同节点中解决</w:t>
      </w:r>
      <w:r>
        <w:rPr>
          <w:rFonts w:hint="eastAsia" w:ascii="宋体" w:hAnsi="宋体" w:eastAsia="宋体" w:cs="宋体"/>
          <w:bCs/>
          <w:sz w:val="24"/>
          <w:highlight w:val="none"/>
          <w:lang w:eastAsia="zh-CN"/>
        </w:rPr>
        <w:t>数据中心</w:t>
      </w:r>
      <w:r>
        <w:rPr>
          <w:rFonts w:hint="eastAsia" w:ascii="宋体" w:hAnsi="宋体" w:eastAsia="宋体" w:cs="宋体"/>
          <w:bCs/>
          <w:sz w:val="24"/>
          <w:highlight w:val="none"/>
        </w:rPr>
        <w:t>存储单点故障导致业务停顿和数据丢失的问题；静态存储用于在保证数据稳定可靠的前提下进一步解决存储空间快速扩展的需求。</w:t>
      </w:r>
    </w:p>
    <w:p w14:paraId="4C09F6B1">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本地备份服务，根据应用系统的具体需求，配合采购人制定系统级备份、应用级备份和数据备份方案。备份可实现对用户数据（文件、操作系统、数据库）的本地备份，默认提供非结构化数据保护、Windows/Linux/Unix操作系统备份保护及对应平台的数据库、文件备份保护。</w:t>
      </w:r>
    </w:p>
    <w:p w14:paraId="15700803">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hint="eastAsia" w:ascii="宋体" w:hAnsi="宋体" w:eastAsia="宋体" w:cs="宋体"/>
          <w:bCs/>
          <w:sz w:val="24"/>
          <w:highlight w:val="none"/>
        </w:rPr>
      </w:pPr>
      <w:r>
        <w:rPr>
          <w:rFonts w:hint="eastAsia" w:ascii="宋体" w:hAnsi="宋体" w:eastAsia="宋体" w:cs="宋体"/>
          <w:bCs/>
          <w:sz w:val="24"/>
          <w:highlight w:val="none"/>
        </w:rPr>
        <w:t>数据备份策略与频率：虚拟机每周备份1次，备份文件保留1个月，保留2份副本。数据库文件每天增量备份，每周全量备份，备份文件保留1个月，保留2份副本。</w:t>
      </w:r>
    </w:p>
    <w:p w14:paraId="6C2B3868">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（3）网络服务</w:t>
      </w:r>
    </w:p>
    <w:p w14:paraId="4CA7FB6A">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云平台按照等级保护三级要求进行建设，且所有设备全部冗余，可避免一台设备宕机造成的单点故障。云平台分为互联网区和政务外网区，两区之间逻辑隔离，采用防火墙实现数据交换，并建立安全监管平台来保障政务云平台的安全，其中，互联网采用双链路，政务外网网络带宽不低于1千兆。</w:t>
      </w:r>
    </w:p>
    <w:p w14:paraId="53DC616E">
      <w:pPr>
        <w:keepNext w:val="0"/>
        <w:keepLines w:val="0"/>
        <w:pageBreakBefore w:val="0"/>
        <w:widowControl/>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网络服务内容包括：提供链路带宽服务及互联网IP地址租用服务、并提供备案服务，按照管理部门要求，配合系统应用厂商提供网络策略配置服务；提供主机负载均衡服务，实现主机应用集群的负载均衡；提供远程接入服务，每个账号结合身份验证通过VPN远程接入堡垒机维护应用系统；提供SSL证书服务，由受信任的数字证书颁发机构</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在验证服务器身份后颁发证书，实现服务器身份验证和数据传输加密功能；提供WAF防护服务，能够针对Web应用提供安全防护。</w:t>
      </w:r>
    </w:p>
    <w:p w14:paraId="2C605AC1">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lang w:val="zh-CN"/>
        </w:rPr>
        <w:t>）基础软件支撑服务</w:t>
      </w:r>
    </w:p>
    <w:p w14:paraId="7339B998">
      <w:pPr>
        <w:keepNext w:val="0"/>
        <w:keepLines w:val="0"/>
        <w:pageBreakBefore w:val="0"/>
        <w:kinsoku/>
        <w:wordWrap/>
        <w:overflowPunct/>
        <w:topLinePunct w:val="0"/>
        <w:autoSpaceDE/>
        <w:autoSpaceDN/>
        <w:bidi w:val="0"/>
        <w:adjustRightInd/>
        <w:spacing w:line="400" w:lineRule="exact"/>
        <w:ind w:firstLine="420" w:firstLineChars="175"/>
        <w:textAlignment w:val="auto"/>
        <w:rPr>
          <w:rFonts w:hint="eastAsia" w:ascii="宋体" w:hAnsi="宋体" w:eastAsia="宋体" w:cs="宋体"/>
          <w:bCs/>
          <w:sz w:val="24"/>
          <w:highlight w:val="none"/>
        </w:rPr>
      </w:pPr>
      <w:r>
        <w:rPr>
          <w:rFonts w:hint="eastAsia" w:ascii="宋体" w:hAnsi="宋体" w:eastAsia="宋体" w:cs="宋体"/>
          <w:bCs/>
          <w:sz w:val="24"/>
          <w:highlight w:val="none"/>
        </w:rPr>
        <w:t>提供主机的商用操作系统、开源操作系统、国产操作系统、数据库系统、中间件的安装及维护服务。</w:t>
      </w:r>
    </w:p>
    <w:p w14:paraId="3B82AF1D">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lang w:val="zh-CN"/>
        </w:rPr>
        <w:t>）主机杀毒服务</w:t>
      </w:r>
    </w:p>
    <w:p w14:paraId="5CB0F5EF">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按照采购人的有关管理规定及应用系统需求，对主机进行定期的病毒查杀，</w:t>
      </w:r>
      <w:r>
        <w:rPr>
          <w:rFonts w:hint="eastAsia" w:ascii="宋体" w:hAnsi="宋体" w:eastAsia="宋体" w:cs="宋体"/>
          <w:bCs/>
          <w:sz w:val="24"/>
          <w:highlight w:val="none"/>
          <w:lang w:eastAsia="zh-CN"/>
        </w:rPr>
        <w:t>针对</w:t>
      </w:r>
      <w:r>
        <w:rPr>
          <w:rFonts w:hint="eastAsia" w:ascii="宋体" w:hAnsi="宋体" w:eastAsia="宋体" w:cs="宋体"/>
          <w:bCs/>
          <w:sz w:val="24"/>
          <w:highlight w:val="none"/>
        </w:rPr>
        <w:t>主机提供恶意代码检测和拦截服务，及时发现、拦截、阻断各种恶意代码、病毒木马等。提供集中控制版杀毒软件，对主机性能无影响。</w:t>
      </w:r>
    </w:p>
    <w:p w14:paraId="0930F621">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lang w:val="zh-CN"/>
        </w:rPr>
        <w:t>）主机防护</w:t>
      </w:r>
    </w:p>
    <w:p w14:paraId="194CD800">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按照采购人的有关管理规定及应用系统需求，对主机进行多方面的安全防护，对入侵行为进行检测及防护，包含网页后门、反弹 shell、异常账号、日志删除、异常登录、异常进程、命令篡改行为。提供网络安全策略进行安全防护，包括暴力破解防护、扫描防护、</w:t>
      </w:r>
      <w:r>
        <w:rPr>
          <w:rFonts w:hint="eastAsia" w:ascii="宋体" w:hAnsi="宋体" w:eastAsia="宋体" w:cs="宋体"/>
          <w:bCs/>
          <w:sz w:val="24"/>
          <w:highlight w:val="none"/>
          <w:lang w:eastAsia="zh-CN"/>
        </w:rPr>
        <w:t>病毒防护、</w:t>
      </w:r>
      <w:r>
        <w:rPr>
          <w:rFonts w:hint="eastAsia" w:ascii="宋体" w:hAnsi="宋体" w:eastAsia="宋体" w:cs="宋体"/>
          <w:bCs/>
          <w:sz w:val="24"/>
          <w:highlight w:val="none"/>
        </w:rPr>
        <w:t>IP 黑白名单、端口安全、访问控制、</w:t>
      </w:r>
      <w:r>
        <w:rPr>
          <w:rFonts w:hint="eastAsia" w:ascii="宋体" w:hAnsi="宋体" w:eastAsia="宋体" w:cs="宋体"/>
          <w:bCs/>
          <w:sz w:val="24"/>
          <w:highlight w:val="none"/>
          <w:lang w:eastAsia="zh-CN"/>
        </w:rPr>
        <w:t>进行</w:t>
      </w:r>
      <w:r>
        <w:rPr>
          <w:rFonts w:hint="eastAsia" w:ascii="宋体" w:hAnsi="宋体" w:eastAsia="宋体" w:cs="宋体"/>
          <w:bCs/>
          <w:sz w:val="24"/>
          <w:highlight w:val="none"/>
        </w:rPr>
        <w:t>行为控制、进程白名单。</w:t>
      </w:r>
    </w:p>
    <w:p w14:paraId="572EAB4E">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lang w:val="zh-CN"/>
        </w:rPr>
        <w:t>）主机漏洞扫描和加固服务</w:t>
      </w:r>
    </w:p>
    <w:p w14:paraId="19473784">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rPr>
        <w:t>按照采购人的有关管理规定及应用系统需求，提供</w:t>
      </w:r>
      <w:r>
        <w:rPr>
          <w:rFonts w:hint="eastAsia" w:ascii="宋体" w:hAnsi="宋体" w:eastAsia="宋体" w:cs="宋体"/>
          <w:bCs/>
          <w:sz w:val="24"/>
          <w:highlight w:val="none"/>
          <w:lang w:eastAsia="zh-CN"/>
        </w:rPr>
        <w:t>全部在用</w:t>
      </w:r>
      <w:r>
        <w:rPr>
          <w:rFonts w:hint="eastAsia" w:ascii="宋体" w:hAnsi="宋体" w:eastAsia="宋体" w:cs="宋体"/>
          <w:bCs/>
          <w:sz w:val="24"/>
          <w:highlight w:val="none"/>
        </w:rPr>
        <w:t>主机漏洞扫描和加固服务，以发现主机高危端口、操作系统、数据库、中间件等层面存在的安全漏洞，并完成操作系统层（含）以下的安全加固，同时配合应用系统主责部门进行系统安全加固。</w:t>
      </w:r>
    </w:p>
    <w:p w14:paraId="4A1D3626">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lang w:val="zh-CN"/>
        </w:rPr>
        <w:t>）主机日志分析</w:t>
      </w:r>
    </w:p>
    <w:p w14:paraId="1DC60A02">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lang w:val="zh-CN"/>
        </w:rPr>
        <w:t>针对操作系统进行日志收集，并且进行分析，反馈相关结果，用于了解主机安全情况及资源使用情况，日志需保存</w:t>
      </w:r>
      <w:r>
        <w:rPr>
          <w:rFonts w:hint="eastAsia" w:ascii="宋体" w:hAnsi="宋体" w:eastAsia="宋体" w:cs="宋体"/>
          <w:bCs/>
          <w:sz w:val="24"/>
          <w:highlight w:val="none"/>
        </w:rPr>
        <w:t>6个月。</w:t>
      </w:r>
    </w:p>
    <w:p w14:paraId="4024F5B5">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lang w:val="zh-CN"/>
        </w:rPr>
        <w:t>）数据库审计</w:t>
      </w:r>
    </w:p>
    <w:p w14:paraId="36F974F6">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bookmarkStart w:id="1" w:name="_Toc22657864"/>
      <w:r>
        <w:rPr>
          <w:rFonts w:hint="eastAsia" w:ascii="宋体" w:hAnsi="宋体" w:eastAsia="宋体" w:cs="宋体"/>
          <w:bCs/>
          <w:sz w:val="24"/>
          <w:highlight w:val="none"/>
          <w:lang w:val="zh-CN"/>
        </w:rPr>
        <w:t>投标人需根据采购人的需求，为数据库实例提供数据库审计服务，以网络旁路的方式工作于数据库主机所在的网络，对访问数据库服务器的行为进行全方位审计。数据库审计在不影响数据库系统自身性能的前提下，对数据库的操作实现跟踪记录、定位，实现对数据库的监控和保护，及时发现网络上针对数据库的违规操作行为并进行记录、报警，为数据库系统的安全运行提供有力保障。</w:t>
      </w:r>
    </w:p>
    <w:bookmarkEnd w:id="1"/>
    <w:p w14:paraId="5FF00AE2">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（1</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lang w:val="zh-CN"/>
        </w:rPr>
        <w:t>）短信服务</w:t>
      </w:r>
    </w:p>
    <w:p w14:paraId="2860AC63">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rPr>
      </w:pPr>
      <w:r>
        <w:rPr>
          <w:rFonts w:hint="eastAsia" w:ascii="宋体" w:hAnsi="宋体" w:eastAsia="宋体" w:cs="宋体"/>
          <w:bCs/>
          <w:sz w:val="24"/>
          <w:highlight w:val="none"/>
          <w:lang w:val="zh-CN"/>
        </w:rPr>
        <w:t>投标人需根据采购人的需求提</w:t>
      </w:r>
      <w:r>
        <w:rPr>
          <w:rFonts w:hint="eastAsia" w:ascii="宋体" w:hAnsi="宋体" w:eastAsia="宋体" w:cs="宋体"/>
          <w:bCs/>
          <w:sz w:val="24"/>
          <w:highlight w:val="none"/>
        </w:rPr>
        <w:t>供</w:t>
      </w:r>
      <w:r>
        <w:rPr>
          <w:rFonts w:hint="eastAsia" w:ascii="宋体" w:hAnsi="宋体" w:eastAsia="宋体" w:cs="宋体"/>
          <w:bCs/>
          <w:sz w:val="24"/>
          <w:highlight w:val="none"/>
          <w:lang w:val="zh-CN"/>
        </w:rPr>
        <w:t>短信</w:t>
      </w:r>
      <w:r>
        <w:rPr>
          <w:rFonts w:hint="eastAsia" w:ascii="宋体" w:hAnsi="宋体" w:eastAsia="宋体" w:cs="宋体"/>
          <w:bCs/>
          <w:sz w:val="24"/>
          <w:highlight w:val="none"/>
        </w:rPr>
        <w:t>平台接口，满足短信发送、验证等要求。</w:t>
      </w:r>
    </w:p>
    <w:p w14:paraId="16A6A257">
      <w:pPr>
        <w:keepNext w:val="0"/>
        <w:keepLines w:val="0"/>
        <w:pageBreakBefore w:val="0"/>
        <w:kinsoku/>
        <w:wordWrap/>
        <w:overflowPunct/>
        <w:topLinePunct w:val="0"/>
        <w:autoSpaceDE/>
        <w:autoSpaceDN/>
        <w:bidi w:val="0"/>
        <w:adjustRightInd/>
        <w:spacing w:line="400" w:lineRule="exact"/>
        <w:ind w:firstLine="420" w:firstLineChars="17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val="zh-CN"/>
        </w:rPr>
        <w:t>）数据交换服务与交换链路维护</w:t>
      </w:r>
    </w:p>
    <w:p w14:paraId="3F4750FA">
      <w:pPr>
        <w:keepNext w:val="0"/>
        <w:keepLines w:val="0"/>
        <w:pageBreakBefore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实现在不同政务云跨网域之间传输和转换数据的能力。支持多种数据格式和协议，如 XML、JSON、CSV 等，能够提供安全的数据传输机制，确保数据的机密性、完整性和可用性。具备数据验证和清洗功能，以确保数据的质量和准确性。支持数据的批量传输或定时同步。能够实现数据交换的监控和日志功能，以便于故障排查和审计。具备良好的可扩展性和高性能，以满足不断增长的数据交换需求。同时，定期开展对已有数据交换链路的巡检维护工作。</w:t>
      </w:r>
    </w:p>
    <w:p w14:paraId="1BC7AA3C">
      <w:pPr>
        <w:widowControl w:val="0"/>
        <w:ind w:firstLine="480" w:firstLineChars="200"/>
        <w:jc w:val="both"/>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zh-CN" w:eastAsia="zh-CN" w:bidi="ar-SA"/>
        </w:rPr>
        <w:t>云资源租用清单</w:t>
      </w:r>
    </w:p>
    <w:p w14:paraId="5FEBD649">
      <w:pPr>
        <w:widowControl w:val="0"/>
        <w:ind w:firstLine="480" w:firstLineChars="200"/>
        <w:jc w:val="both"/>
        <w:rPr>
          <w:rFonts w:ascii="宋体" w:hAnsi="宋体" w:eastAsia="宋体" w:cs="宋体"/>
          <w:kern w:val="2"/>
          <w:sz w:val="24"/>
          <w:szCs w:val="24"/>
          <w:highlight w:val="none"/>
          <w:lang w:val="zh-CN" w:eastAsia="zh-CN" w:bidi="ar-SA"/>
        </w:rPr>
      </w:pPr>
    </w:p>
    <w:tbl>
      <w:tblPr>
        <w:tblStyle w:val="3"/>
        <w:tblW w:w="8770" w:type="dxa"/>
        <w:jc w:val="center"/>
        <w:tblLayout w:type="fixed"/>
        <w:tblCellMar>
          <w:top w:w="0" w:type="dxa"/>
          <w:left w:w="108" w:type="dxa"/>
          <w:bottom w:w="0" w:type="dxa"/>
          <w:right w:w="108" w:type="dxa"/>
        </w:tblCellMar>
      </w:tblPr>
      <w:tblGrid>
        <w:gridCol w:w="835"/>
        <w:gridCol w:w="1916"/>
        <w:gridCol w:w="3835"/>
        <w:gridCol w:w="1026"/>
        <w:gridCol w:w="1158"/>
      </w:tblGrid>
      <w:tr w14:paraId="7612508C">
        <w:tblPrEx>
          <w:tblCellMar>
            <w:top w:w="0" w:type="dxa"/>
            <w:left w:w="108" w:type="dxa"/>
            <w:bottom w:w="0" w:type="dxa"/>
            <w:right w:w="108" w:type="dxa"/>
          </w:tblCellMar>
        </w:tblPrEx>
        <w:trPr>
          <w:trHeight w:val="429" w:hRule="atLeast"/>
          <w:jc w:val="center"/>
        </w:trPr>
        <w:tc>
          <w:tcPr>
            <w:tcW w:w="8770" w:type="dxa"/>
            <w:gridSpan w:val="5"/>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29B8650B">
            <w:pPr>
              <w:widowControl/>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lang w:bidi="ar"/>
              </w:rPr>
              <w:t>政务云资源-云计算</w:t>
            </w:r>
            <w:r>
              <w:rPr>
                <w:rFonts w:hint="eastAsia" w:ascii="宋体" w:hAnsi="宋体" w:eastAsia="宋体" w:cs="宋体"/>
                <w:b/>
                <w:bCs/>
                <w:color w:val="000000"/>
                <w:kern w:val="0"/>
                <w:sz w:val="24"/>
                <w:highlight w:val="none"/>
                <w:lang w:eastAsia="zh-CN" w:bidi="ar"/>
              </w:rPr>
              <w:t>资源</w:t>
            </w:r>
            <w:r>
              <w:rPr>
                <w:rFonts w:hint="eastAsia" w:ascii="宋体" w:hAnsi="宋体" w:eastAsia="宋体" w:cs="宋体"/>
                <w:b/>
                <w:bCs/>
                <w:color w:val="000000"/>
                <w:kern w:val="0"/>
                <w:sz w:val="24"/>
                <w:highlight w:val="none"/>
                <w:lang w:bidi="ar"/>
              </w:rPr>
              <w:t>清单</w:t>
            </w:r>
          </w:p>
        </w:tc>
      </w:tr>
      <w:tr w14:paraId="2C6E4EE8">
        <w:tblPrEx>
          <w:tblCellMar>
            <w:top w:w="0" w:type="dxa"/>
            <w:left w:w="108" w:type="dxa"/>
            <w:bottom w:w="0" w:type="dxa"/>
            <w:right w:w="108" w:type="dxa"/>
          </w:tblCellMar>
        </w:tblPrEx>
        <w:trPr>
          <w:trHeight w:val="3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EF23A2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服务类别</w:t>
            </w:r>
          </w:p>
        </w:tc>
        <w:tc>
          <w:tcPr>
            <w:tcW w:w="191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4A45E6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服务子类</w:t>
            </w:r>
          </w:p>
        </w:tc>
        <w:tc>
          <w:tcPr>
            <w:tcW w:w="383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48778A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服务项</w:t>
            </w:r>
          </w:p>
        </w:tc>
        <w:tc>
          <w:tcPr>
            <w:tcW w:w="102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3E439A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单位</w:t>
            </w:r>
          </w:p>
        </w:tc>
        <w:tc>
          <w:tcPr>
            <w:tcW w:w="1158"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090DCB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数量</w:t>
            </w:r>
          </w:p>
        </w:tc>
      </w:tr>
      <w:tr w14:paraId="46CD3EAE">
        <w:tblPrEx>
          <w:tblCellMar>
            <w:top w:w="0" w:type="dxa"/>
            <w:left w:w="108" w:type="dxa"/>
            <w:bottom w:w="0" w:type="dxa"/>
            <w:right w:w="108" w:type="dxa"/>
          </w:tblCellMar>
        </w:tblPrEx>
        <w:trPr>
          <w:trHeight w:val="31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5BBB1CF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计算服务</w:t>
            </w:r>
          </w:p>
        </w:tc>
        <w:tc>
          <w:tcPr>
            <w:tcW w:w="1916" w:type="dxa"/>
            <w:vMerge w:val="restart"/>
            <w:tcBorders>
              <w:top w:val="single" w:color="000000" w:sz="4" w:space="0"/>
              <w:left w:val="single" w:color="000000" w:sz="4" w:space="0"/>
              <w:bottom w:val="single" w:color="000000" w:sz="4" w:space="0"/>
              <w:right w:val="single" w:color="000000" w:sz="4" w:space="0"/>
            </w:tcBorders>
            <w:noWrap/>
            <w:vAlign w:val="center"/>
          </w:tcPr>
          <w:p w14:paraId="4BA0F67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平台云主机服务（包含X86、ARM、C86）</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66C3820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vCPU（vCPU ARM架构主频不低于2.4GHz，C86和x86主频不低于2.2GHz，平均虚拟化率，即物理CPU/虚拟CPU≥1/4，虚拟CPU利用率不低于物理CPU的25% ）</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ECF682D">
            <w:pPr>
              <w:widowControl/>
              <w:jc w:val="left"/>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1 CPU</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383F307F">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682</w:t>
            </w:r>
          </w:p>
        </w:tc>
      </w:tr>
      <w:tr w14:paraId="5ECAB4DA">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4104B190">
            <w:pPr>
              <w:jc w:val="center"/>
              <w:rPr>
                <w:rFonts w:ascii="宋体" w:hAnsi="宋体" w:eastAsia="宋体" w:cs="宋体"/>
                <w:color w:val="000000"/>
                <w:sz w:val="24"/>
                <w:highlight w:val="none"/>
              </w:rPr>
            </w:pPr>
          </w:p>
        </w:tc>
        <w:tc>
          <w:tcPr>
            <w:tcW w:w="1916" w:type="dxa"/>
            <w:vMerge w:val="continue"/>
            <w:tcBorders>
              <w:top w:val="single" w:color="000000" w:sz="4" w:space="0"/>
              <w:left w:val="single" w:color="000000" w:sz="4" w:space="0"/>
              <w:bottom w:val="single" w:color="000000" w:sz="4" w:space="0"/>
              <w:right w:val="single" w:color="000000" w:sz="4" w:space="0"/>
            </w:tcBorders>
            <w:noWrap/>
            <w:vAlign w:val="center"/>
          </w:tcPr>
          <w:p w14:paraId="197B61A5">
            <w:pPr>
              <w:jc w:val="left"/>
              <w:rPr>
                <w:rFonts w:ascii="宋体" w:hAnsi="宋体" w:eastAsia="宋体" w:cs="宋体"/>
                <w:color w:val="000000"/>
                <w:sz w:val="24"/>
                <w:highlight w:val="none"/>
              </w:rPr>
            </w:pP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04F70E5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476453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GB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E6C1AAC">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2088</w:t>
            </w:r>
          </w:p>
        </w:tc>
      </w:tr>
      <w:tr w14:paraId="04F2A00B">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42F1949C">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2FDF302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物理服务器租用服务（包含X86、ARM、C86）</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238DEEC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物理服务器配置2：四路每CPU核数≥48 核，主频≥2.6Ghz，256G内存，2块600</w:t>
            </w:r>
            <w:r>
              <w:rPr>
                <w:rFonts w:hint="eastAsia" w:ascii="宋体" w:hAnsi="宋体" w:eastAsia="宋体" w:cs="宋体"/>
                <w:color w:val="000000"/>
                <w:kern w:val="0"/>
                <w:sz w:val="24"/>
                <w:highlight w:val="none"/>
                <w:lang w:val="en-US" w:eastAsia="zh-CN" w:bidi="ar"/>
              </w:rPr>
              <w:t>G</w:t>
            </w:r>
            <w:r>
              <w:rPr>
                <w:rFonts w:hint="eastAsia" w:ascii="宋体" w:hAnsi="宋体" w:eastAsia="宋体" w:cs="宋体"/>
                <w:color w:val="000000"/>
                <w:kern w:val="0"/>
                <w:sz w:val="24"/>
                <w:highlight w:val="none"/>
                <w:lang w:bidi="ar"/>
              </w:rPr>
              <w:t>SAS硬盘，2个HBA卡，2个万兆端口</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80581A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台</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D6D66FB">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val="en-US" w:eastAsia="zh-CN" w:bidi="ar"/>
              </w:rPr>
              <w:t>2</w:t>
            </w:r>
          </w:p>
        </w:tc>
      </w:tr>
      <w:tr w14:paraId="537F365F">
        <w:tblPrEx>
          <w:tblCellMar>
            <w:top w:w="0" w:type="dxa"/>
            <w:left w:w="108" w:type="dxa"/>
            <w:bottom w:w="0" w:type="dxa"/>
            <w:right w:w="108" w:type="dxa"/>
          </w:tblCellMar>
        </w:tblPrEx>
        <w:trPr>
          <w:trHeight w:val="315" w:hRule="atLeast"/>
          <w:jc w:val="center"/>
        </w:trPr>
        <w:tc>
          <w:tcPr>
            <w:tcW w:w="835" w:type="dxa"/>
            <w:vMerge w:val="restart"/>
            <w:tcBorders>
              <w:top w:val="single" w:color="000000" w:sz="4" w:space="0"/>
              <w:left w:val="single" w:color="000000" w:sz="4" w:space="0"/>
              <w:bottom w:val="nil"/>
              <w:right w:val="single" w:color="000000" w:sz="4" w:space="0"/>
            </w:tcBorders>
            <w:noWrap/>
            <w:vAlign w:val="center"/>
          </w:tcPr>
          <w:p w14:paraId="37A1F888">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存储服务</w:t>
            </w: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6B4C462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普通性能存储</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CF86F4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普通存储（单盘技术指标: 单盘IOPS 2000-5000）</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28ED3C6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r>
              <w:rPr>
                <w:rFonts w:hint="eastAsia" w:ascii="宋体" w:hAnsi="宋体" w:eastAsia="宋体" w:cs="宋体"/>
                <w:color w:val="000000"/>
                <w:kern w:val="0"/>
                <w:sz w:val="24"/>
                <w:highlight w:val="none"/>
                <w:lang w:val="en-US" w:eastAsia="zh-CN" w:bidi="ar"/>
              </w:rPr>
              <w:t>00</w:t>
            </w:r>
            <w:r>
              <w:rPr>
                <w:rFonts w:hint="eastAsia" w:ascii="宋体" w:hAnsi="宋体" w:eastAsia="宋体" w:cs="宋体"/>
                <w:color w:val="000000"/>
                <w:kern w:val="0"/>
                <w:sz w:val="24"/>
                <w:highlight w:val="none"/>
                <w:lang w:bidi="ar"/>
              </w:rPr>
              <w:t>GB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C24992A">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4</w:t>
            </w:r>
            <w:r>
              <w:rPr>
                <w:rFonts w:hint="eastAsia" w:ascii="宋体" w:hAnsi="宋体" w:eastAsia="宋体" w:cs="宋体"/>
                <w:color w:val="000000"/>
                <w:kern w:val="0"/>
                <w:sz w:val="24"/>
                <w:highlight w:val="none"/>
                <w:lang w:val="en-US" w:eastAsia="zh-CN" w:bidi="ar"/>
              </w:rPr>
              <w:t>18.56</w:t>
            </w:r>
          </w:p>
        </w:tc>
      </w:tr>
      <w:tr w14:paraId="35AD435D">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nil"/>
              <w:right w:val="single" w:color="000000" w:sz="4" w:space="0"/>
            </w:tcBorders>
            <w:noWrap/>
            <w:vAlign w:val="center"/>
          </w:tcPr>
          <w:p w14:paraId="5C72920B">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653BD85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高性能存储</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5B269A3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高性能存储（单盘技术指标：单盘IOPS 10000-25000）</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E3B361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r>
              <w:rPr>
                <w:rFonts w:hint="eastAsia" w:ascii="宋体" w:hAnsi="宋体" w:eastAsia="宋体" w:cs="宋体"/>
                <w:color w:val="000000"/>
                <w:kern w:val="0"/>
                <w:sz w:val="24"/>
                <w:highlight w:val="none"/>
                <w:lang w:val="en-US" w:eastAsia="zh-CN" w:bidi="ar"/>
              </w:rPr>
              <w:t>00</w:t>
            </w:r>
            <w:r>
              <w:rPr>
                <w:rFonts w:hint="eastAsia" w:ascii="宋体" w:hAnsi="宋体" w:eastAsia="宋体" w:cs="宋体"/>
                <w:color w:val="000000"/>
                <w:kern w:val="0"/>
                <w:sz w:val="24"/>
                <w:highlight w:val="none"/>
                <w:lang w:bidi="ar"/>
              </w:rPr>
              <w:t>GB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D858C26">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418.56</w:t>
            </w:r>
          </w:p>
        </w:tc>
      </w:tr>
      <w:tr w14:paraId="6980D19D">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nil"/>
              <w:right w:val="single" w:color="000000" w:sz="4" w:space="0"/>
            </w:tcBorders>
            <w:noWrap/>
            <w:vAlign w:val="center"/>
          </w:tcPr>
          <w:p w14:paraId="6A6A4D84">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2507562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静态存储</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01B4A0F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提供大容量、高可靠的数据存储服务，具备PB级线性扩展能力</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2496B33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TB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ACABC99">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10</w:t>
            </w:r>
          </w:p>
        </w:tc>
      </w:tr>
      <w:tr w14:paraId="00472B98">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nil"/>
              <w:right w:val="single" w:color="000000" w:sz="4" w:space="0"/>
            </w:tcBorders>
            <w:noWrap/>
            <w:vAlign w:val="center"/>
          </w:tcPr>
          <w:p w14:paraId="4ECD472B">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12AB6B4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本地备份服务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1F8DB4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通过备份策略实现文件、操作系统、数据库的本地备份</w:t>
            </w:r>
            <w:r>
              <w:rPr>
                <w:rFonts w:hint="eastAsia" w:ascii="宋体" w:hAnsi="宋体" w:eastAsia="宋体" w:cs="宋体"/>
                <w:color w:val="000000"/>
                <w:kern w:val="0"/>
                <w:sz w:val="24"/>
                <w:highlight w:val="none"/>
                <w:lang w:val="en-US" w:eastAsia="zh-CN" w:bidi="ar"/>
              </w:rPr>
              <w:t>(</w:t>
            </w:r>
            <w:r>
              <w:rPr>
                <w:rFonts w:hint="eastAsia" w:ascii="宋体" w:hAnsi="宋体" w:eastAsia="宋体" w:cs="宋体"/>
                <w:color w:val="000000"/>
                <w:kern w:val="0"/>
                <w:sz w:val="24"/>
                <w:highlight w:val="none"/>
                <w:lang w:bidi="ar"/>
              </w:rPr>
              <w:t>不包含备份存储空间）</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7E5715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r>
              <w:rPr>
                <w:rFonts w:hint="eastAsia" w:ascii="宋体" w:hAnsi="宋体" w:eastAsia="宋体" w:cs="宋体"/>
                <w:color w:val="000000"/>
                <w:kern w:val="0"/>
                <w:sz w:val="24"/>
                <w:highlight w:val="none"/>
                <w:lang w:val="en-US" w:eastAsia="zh-CN" w:bidi="ar"/>
              </w:rPr>
              <w:t>00</w:t>
            </w:r>
            <w:r>
              <w:rPr>
                <w:rFonts w:hint="eastAsia" w:ascii="宋体" w:hAnsi="宋体" w:eastAsia="宋体" w:cs="宋体"/>
                <w:color w:val="000000"/>
                <w:kern w:val="0"/>
                <w:sz w:val="24"/>
                <w:highlight w:val="none"/>
                <w:lang w:bidi="ar"/>
              </w:rPr>
              <w:t>GB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7910AD6">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4</w:t>
            </w:r>
            <w:r>
              <w:rPr>
                <w:rFonts w:hint="eastAsia" w:ascii="宋体" w:hAnsi="宋体" w:eastAsia="宋体" w:cs="宋体"/>
                <w:color w:val="000000"/>
                <w:kern w:val="0"/>
                <w:sz w:val="24"/>
                <w:highlight w:val="none"/>
                <w:lang w:val="en-US" w:eastAsia="zh-CN" w:bidi="ar"/>
              </w:rPr>
              <w:t>18.56</w:t>
            </w:r>
          </w:p>
        </w:tc>
      </w:tr>
      <w:tr w14:paraId="518B5098">
        <w:tblPrEx>
          <w:tblCellMar>
            <w:top w:w="0" w:type="dxa"/>
            <w:left w:w="108" w:type="dxa"/>
            <w:bottom w:w="0" w:type="dxa"/>
            <w:right w:w="108" w:type="dxa"/>
          </w:tblCellMar>
        </w:tblPrEx>
        <w:trPr>
          <w:trHeight w:val="31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7D45E1B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网络服务</w:t>
            </w:r>
          </w:p>
        </w:tc>
        <w:tc>
          <w:tcPr>
            <w:tcW w:w="1916" w:type="dxa"/>
            <w:vMerge w:val="restart"/>
            <w:tcBorders>
              <w:top w:val="single" w:color="000000" w:sz="4" w:space="0"/>
              <w:left w:val="single" w:color="000000" w:sz="4" w:space="0"/>
              <w:bottom w:val="single" w:color="000000" w:sz="4" w:space="0"/>
              <w:right w:val="single" w:color="000000" w:sz="4" w:space="0"/>
            </w:tcBorders>
            <w:noWrap/>
            <w:vAlign w:val="center"/>
          </w:tcPr>
          <w:p w14:paraId="470F8E8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互联网链路服务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57AD932D">
            <w:pPr>
              <w:widowControl/>
              <w:jc w:val="left"/>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互联网链路带宽</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提供多线运行商接入服务，保证稳定可靠</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E611C9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Mb</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9001240">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400</w:t>
            </w:r>
          </w:p>
        </w:tc>
      </w:tr>
      <w:tr w14:paraId="4686963C">
        <w:tblPrEx>
          <w:tblCellMar>
            <w:top w:w="0" w:type="dxa"/>
            <w:left w:w="108" w:type="dxa"/>
            <w:bottom w:w="0" w:type="dxa"/>
            <w:right w:w="108" w:type="dxa"/>
          </w:tblCellMar>
        </w:tblPrEx>
        <w:trPr>
          <w:trHeight w:val="24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181F2939">
            <w:pPr>
              <w:jc w:val="center"/>
              <w:rPr>
                <w:rFonts w:ascii="宋体" w:hAnsi="宋体" w:eastAsia="宋体" w:cs="宋体"/>
                <w:color w:val="000000"/>
                <w:sz w:val="24"/>
                <w:highlight w:val="none"/>
              </w:rPr>
            </w:pPr>
          </w:p>
        </w:tc>
        <w:tc>
          <w:tcPr>
            <w:tcW w:w="1916" w:type="dxa"/>
            <w:vMerge w:val="continue"/>
            <w:tcBorders>
              <w:top w:val="single" w:color="000000" w:sz="4" w:space="0"/>
              <w:left w:val="single" w:color="000000" w:sz="4" w:space="0"/>
              <w:bottom w:val="single" w:color="000000" w:sz="4" w:space="0"/>
              <w:right w:val="single" w:color="000000" w:sz="4" w:space="0"/>
            </w:tcBorders>
            <w:noWrap/>
            <w:vAlign w:val="center"/>
          </w:tcPr>
          <w:p w14:paraId="53BD88E3">
            <w:pPr>
              <w:jc w:val="left"/>
              <w:rPr>
                <w:rFonts w:ascii="宋体" w:hAnsi="宋体" w:eastAsia="宋体" w:cs="宋体"/>
                <w:color w:val="000000"/>
                <w:sz w:val="24"/>
                <w:highlight w:val="none"/>
              </w:rPr>
            </w:pP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5D5CFF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互联网IP地址租用服务、并提供备案服务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7A9FA4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IP</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04E789E1">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val="en-US" w:eastAsia="zh-CN" w:bidi="ar"/>
              </w:rPr>
              <w:t>2</w:t>
            </w:r>
          </w:p>
        </w:tc>
      </w:tr>
      <w:tr w14:paraId="5D3CF21D">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194A04D9">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1A666EE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主机负载均衡服务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2A2B9A8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提供主机应用集群负载均衡服务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57FF28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 IP（内网）</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9DB9331">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val="en-US" w:eastAsia="zh-CN" w:bidi="ar"/>
              </w:rPr>
              <w:t>1</w:t>
            </w:r>
          </w:p>
        </w:tc>
      </w:tr>
      <w:tr w14:paraId="1B531C7C">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2F241594">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5366D5A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远程接入服务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23C7889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每个账号结合身份验</w:t>
            </w:r>
            <w:r>
              <w:rPr>
                <w:rFonts w:hint="eastAsia" w:ascii="宋体" w:hAnsi="宋体" w:eastAsia="宋体" w:cs="宋体"/>
                <w:color w:val="000000"/>
                <w:kern w:val="0"/>
                <w:sz w:val="24"/>
                <w:highlight w:val="none"/>
                <w:lang w:eastAsia="zh-CN" w:bidi="ar"/>
              </w:rPr>
              <w:t>证</w:t>
            </w:r>
            <w:r>
              <w:rPr>
                <w:rFonts w:hint="eastAsia" w:ascii="宋体" w:hAnsi="宋体" w:eastAsia="宋体" w:cs="宋体"/>
                <w:color w:val="000000"/>
                <w:kern w:val="0"/>
                <w:sz w:val="24"/>
                <w:highlight w:val="none"/>
                <w:lang w:bidi="ar"/>
              </w:rPr>
              <w:t>通过VPN远程接入堡垒机进行维护</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2EF9315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1账号</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F52A8F5">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val="en-US" w:eastAsia="zh-CN" w:bidi="ar"/>
              </w:rPr>
              <w:t>20</w:t>
            </w:r>
          </w:p>
        </w:tc>
      </w:tr>
      <w:tr w14:paraId="486F0D4E">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7010A42B">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54CB948B">
            <w:pPr>
              <w:widowControl/>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lang w:bidi="ar"/>
              </w:rPr>
              <w:t>SSL证书</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5B52134E">
            <w:pPr>
              <w:widowControl/>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lang w:bidi="ar"/>
              </w:rPr>
              <w:t>为网站提供https保护，对流量进行加密，防止数据被窃取。</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5B2AC8B3">
            <w:pPr>
              <w:widowControl/>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lang w:bidi="ar"/>
              </w:rPr>
              <w:t>1域名</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71FD9924">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highlight w:val="none"/>
                <w:lang w:bidi="ar"/>
              </w:rPr>
              <w:t>1</w:t>
            </w:r>
          </w:p>
        </w:tc>
      </w:tr>
      <w:tr w14:paraId="660937C0">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03EA204D">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6C07822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Web 应用防火墙（WAF）</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498E99C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针对网站及 Web应用系统提供应用层安全防护，支持各类 SQL注入、XSS 攻击、网页木马、WEBSHELL 等 Web威胁防护 （200Mbps）</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723E64EE">
            <w:pPr>
              <w:widowControl/>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 xml:space="preserve">1 </w:t>
            </w:r>
            <w:r>
              <w:rPr>
                <w:rFonts w:hint="eastAsia" w:ascii="宋体" w:hAnsi="宋体" w:eastAsia="宋体" w:cs="宋体"/>
                <w:color w:val="000000"/>
                <w:kern w:val="0"/>
                <w:sz w:val="24"/>
                <w:highlight w:val="none"/>
                <w:lang w:eastAsia="zh-CN" w:bidi="ar"/>
              </w:rPr>
              <w:t>套</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3572C87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r>
      <w:tr w14:paraId="0A047BE0">
        <w:tblPrEx>
          <w:tblCellMar>
            <w:top w:w="0" w:type="dxa"/>
            <w:left w:w="108" w:type="dxa"/>
            <w:bottom w:w="0" w:type="dxa"/>
            <w:right w:w="108" w:type="dxa"/>
          </w:tblCellMar>
        </w:tblPrEx>
        <w:trPr>
          <w:trHeight w:val="555" w:hRule="atLeast"/>
          <w:jc w:val="center"/>
        </w:trPr>
        <w:tc>
          <w:tcPr>
            <w:tcW w:w="8770" w:type="dxa"/>
            <w:gridSpan w:val="5"/>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445AB4D8">
            <w:pPr>
              <w:widowControl/>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lang w:bidi="ar"/>
              </w:rPr>
              <w:t>政务云资源-扩展</w:t>
            </w:r>
            <w:r>
              <w:rPr>
                <w:rFonts w:hint="eastAsia" w:ascii="宋体" w:hAnsi="宋体" w:eastAsia="宋体" w:cs="宋体"/>
                <w:b/>
                <w:bCs/>
                <w:color w:val="000000"/>
                <w:kern w:val="0"/>
                <w:sz w:val="24"/>
                <w:highlight w:val="none"/>
                <w:lang w:eastAsia="zh-CN" w:bidi="ar"/>
              </w:rPr>
              <w:t>资源清</w:t>
            </w:r>
            <w:r>
              <w:rPr>
                <w:rFonts w:hint="eastAsia" w:ascii="宋体" w:hAnsi="宋体" w:eastAsia="宋体" w:cs="宋体"/>
                <w:b/>
                <w:bCs/>
                <w:color w:val="000000"/>
                <w:kern w:val="0"/>
                <w:sz w:val="24"/>
                <w:highlight w:val="none"/>
                <w:lang w:bidi="ar"/>
              </w:rPr>
              <w:t>单</w:t>
            </w:r>
          </w:p>
        </w:tc>
      </w:tr>
      <w:tr w14:paraId="0296F199">
        <w:tblPrEx>
          <w:tblCellMar>
            <w:top w:w="0" w:type="dxa"/>
            <w:left w:w="108" w:type="dxa"/>
            <w:bottom w:w="0" w:type="dxa"/>
            <w:right w:w="108" w:type="dxa"/>
          </w:tblCellMar>
        </w:tblPrEx>
        <w:trPr>
          <w:trHeight w:val="3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4D55FF5">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服务类别</w:t>
            </w:r>
          </w:p>
        </w:tc>
        <w:tc>
          <w:tcPr>
            <w:tcW w:w="191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EB9DCA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服务子类</w:t>
            </w:r>
          </w:p>
        </w:tc>
        <w:tc>
          <w:tcPr>
            <w:tcW w:w="383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166513D">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服务项</w:t>
            </w:r>
          </w:p>
        </w:tc>
        <w:tc>
          <w:tcPr>
            <w:tcW w:w="102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3D474E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单位</w:t>
            </w:r>
          </w:p>
        </w:tc>
        <w:tc>
          <w:tcPr>
            <w:tcW w:w="1158"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442206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数量</w:t>
            </w:r>
          </w:p>
        </w:tc>
      </w:tr>
      <w:tr w14:paraId="412325B6">
        <w:tblPrEx>
          <w:tblCellMar>
            <w:top w:w="0" w:type="dxa"/>
            <w:left w:w="108" w:type="dxa"/>
            <w:bottom w:w="0" w:type="dxa"/>
            <w:right w:w="108" w:type="dxa"/>
          </w:tblCellMar>
        </w:tblPrEx>
        <w:trPr>
          <w:trHeight w:val="31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65991D4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基础软件支撑服务</w:t>
            </w: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71F1D1A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商用操作系统套餐</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6EB56CF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Windows Server套餐</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Windows Server租用、安装及维护。</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CE7170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1个云主机</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34F7A62">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r>
      <w:tr w14:paraId="4B09E9B0">
        <w:tblPrEx>
          <w:tblCellMar>
            <w:top w:w="0" w:type="dxa"/>
            <w:left w:w="108" w:type="dxa"/>
            <w:bottom w:w="0" w:type="dxa"/>
            <w:right w:w="108" w:type="dxa"/>
          </w:tblCellMar>
        </w:tblPrEx>
        <w:trPr>
          <w:trHeight w:val="315" w:hRule="atLeast"/>
          <w:jc w:val="center"/>
        </w:trPr>
        <w:tc>
          <w:tcPr>
            <w:tcW w:w="835" w:type="dxa"/>
            <w:vMerge w:val="continue"/>
            <w:tcBorders>
              <w:left w:val="single" w:color="000000" w:sz="4" w:space="0"/>
              <w:right w:val="single" w:color="000000" w:sz="4" w:space="0"/>
            </w:tcBorders>
            <w:noWrap/>
            <w:vAlign w:val="center"/>
          </w:tcPr>
          <w:p w14:paraId="5F4C1F88">
            <w:pPr>
              <w:widowControl/>
              <w:jc w:val="center"/>
              <w:textAlignment w:val="center"/>
              <w:rPr>
                <w:rFonts w:hint="eastAsia" w:ascii="宋体" w:hAnsi="宋体" w:eastAsia="宋体" w:cs="宋体"/>
                <w:color w:val="000000"/>
                <w:kern w:val="0"/>
                <w:sz w:val="24"/>
                <w:highlight w:val="none"/>
                <w:lang w:bidi="ar"/>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0A835AB2">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商用操作系统套餐</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6EC80FAC">
            <w:pPr>
              <w:widowControl/>
              <w:jc w:val="left"/>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提供中标麒麟操作系统租用、安装和维护服务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FFF4F37">
            <w:pPr>
              <w:widowControl/>
              <w:jc w:val="left"/>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1个云主机/月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5F563330">
            <w:pPr>
              <w:widowControl/>
              <w:jc w:val="center"/>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25</w:t>
            </w:r>
          </w:p>
        </w:tc>
      </w:tr>
      <w:tr w14:paraId="1477FE91">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3A4BA3CC">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096E5BDC">
            <w:pPr>
              <w:widowControl/>
              <w:adjustRightInd w:val="0"/>
              <w:textAlignment w:val="center"/>
              <w:rPr>
                <w:rFonts w:ascii="宋体" w:hAnsi="宋体" w:eastAsia="宋体" w:cs="宋体"/>
                <w:sz w:val="24"/>
                <w:highlight w:val="none"/>
              </w:rPr>
            </w:pPr>
            <w:r>
              <w:rPr>
                <w:rFonts w:hint="eastAsia" w:ascii="宋体" w:hAnsi="宋体" w:eastAsia="宋体" w:cs="宋体"/>
                <w:sz w:val="24"/>
                <w:highlight w:val="none"/>
              </w:rPr>
              <w:t>开源操作系统套餐</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72CE982A">
            <w:pPr>
              <w:widowControl/>
              <w:adjustRightInd w:val="0"/>
              <w:textAlignment w:val="center"/>
              <w:rPr>
                <w:rFonts w:ascii="宋体" w:hAnsi="宋体" w:eastAsia="宋体" w:cs="宋体"/>
                <w:sz w:val="24"/>
                <w:highlight w:val="none"/>
              </w:rPr>
            </w:pPr>
            <w:r>
              <w:rPr>
                <w:rFonts w:hint="eastAsia" w:ascii="宋体" w:hAnsi="宋体" w:eastAsia="宋体" w:cs="宋体"/>
                <w:sz w:val="24"/>
                <w:highlight w:val="none"/>
              </w:rPr>
              <w:t>提供开源操作系统安装和维护服务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1721889">
            <w:pPr>
              <w:widowControl/>
              <w:adjustRightInd w:val="0"/>
              <w:jc w:val="center"/>
              <w:textAlignment w:val="center"/>
              <w:rPr>
                <w:rFonts w:ascii="宋体" w:hAnsi="宋体" w:eastAsia="宋体" w:cs="宋体"/>
                <w:sz w:val="24"/>
                <w:highlight w:val="none"/>
              </w:rPr>
            </w:pPr>
            <w:r>
              <w:rPr>
                <w:rFonts w:hint="eastAsia" w:ascii="宋体" w:hAnsi="宋体" w:eastAsia="宋体" w:cs="宋体"/>
                <w:sz w:val="24"/>
                <w:highlight w:val="none"/>
              </w:rPr>
              <w:t>1个主机</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057881D5">
            <w:pPr>
              <w:widowControl/>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3</w:t>
            </w:r>
          </w:p>
        </w:tc>
      </w:tr>
      <w:tr w14:paraId="6D9FCA8D">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1856E9B7">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3C32F39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商用中间件租用服务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7658EF2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提供东方通中间件的租用、安装、技术支持服务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F7638F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1台</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EEFC25D">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p>
        </w:tc>
      </w:tr>
      <w:tr w14:paraId="68438727">
        <w:tblPrEx>
          <w:tblCellMar>
            <w:top w:w="0" w:type="dxa"/>
            <w:left w:w="108" w:type="dxa"/>
            <w:bottom w:w="0" w:type="dxa"/>
            <w:right w:w="108" w:type="dxa"/>
          </w:tblCellMar>
        </w:tblPrEx>
        <w:trPr>
          <w:trHeight w:val="315"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14:paraId="60B3C1D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安全监测及防护服务</w:t>
            </w: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296B3FB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主机杀毒服务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F6CF33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对云主机进行定期的病毒查杀，杀毒软件集中控制，对网络性能无影响。</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2438C69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1台</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9C341C7">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57</w:t>
            </w:r>
          </w:p>
        </w:tc>
      </w:tr>
      <w:tr w14:paraId="065918B2">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77EC0819">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0C3722E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主机防护</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79FF141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提供符合等保三级要求的主机权限管理及安全防护。</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84DDEA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1台</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5C9633FC">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57</w:t>
            </w:r>
          </w:p>
        </w:tc>
      </w:tr>
      <w:tr w14:paraId="0A86C2A9">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0F4752DB">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5A8625E2">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主机安全加固</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684832C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针对漏扫或等级测评结果对操作系统进行安全加固，用以解决等级测评结果中所显示的漏洞。</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6CC479B">
            <w:pPr>
              <w:widowControl/>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1台</w:t>
            </w:r>
            <w:r>
              <w:rPr>
                <w:rFonts w:hint="eastAsia" w:ascii="宋体" w:hAnsi="宋体" w:eastAsia="宋体" w:cs="宋体"/>
                <w:color w:val="000000"/>
                <w:kern w:val="0"/>
                <w:sz w:val="24"/>
                <w:highlight w:val="none"/>
                <w:lang w:eastAsia="zh-CN" w:bidi="ar"/>
              </w:rPr>
              <w:t>次</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2ECBF6F">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114</w:t>
            </w:r>
          </w:p>
        </w:tc>
      </w:tr>
      <w:tr w14:paraId="3A204CDE">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77FB7D9">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7373B88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主机漏洞扫描</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B297EA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为用户提供针对主机层面的安全扫描服务，并反馈相关结果。</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4CFA04C8">
            <w:pPr>
              <w:widowControl/>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1台</w:t>
            </w:r>
            <w:r>
              <w:rPr>
                <w:rFonts w:hint="eastAsia" w:ascii="宋体" w:hAnsi="宋体" w:eastAsia="宋体" w:cs="宋体"/>
                <w:color w:val="000000"/>
                <w:kern w:val="0"/>
                <w:sz w:val="24"/>
                <w:highlight w:val="none"/>
                <w:lang w:eastAsia="zh-CN" w:bidi="ar"/>
              </w:rPr>
              <w:t>次</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0209D6B">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114</w:t>
            </w:r>
          </w:p>
        </w:tc>
      </w:tr>
      <w:tr w14:paraId="4A2E1118">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1B9B7AA0">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455104C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主机日志分析</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420996A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针对操作系统进行日志收集，并且进行分析，并将结果反馈给用户，用于了解主机安全情况及资源使用情况</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7547B19">
            <w:pPr>
              <w:widowControl/>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1台</w:t>
            </w:r>
            <w:r>
              <w:rPr>
                <w:rFonts w:hint="eastAsia" w:ascii="宋体" w:hAnsi="宋体" w:eastAsia="宋体" w:cs="宋体"/>
                <w:color w:val="000000"/>
                <w:kern w:val="0"/>
                <w:sz w:val="24"/>
                <w:highlight w:val="none"/>
                <w:lang w:eastAsia="zh-CN" w:bidi="ar"/>
              </w:rPr>
              <w:t>次</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54EC16E8">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114</w:t>
            </w:r>
          </w:p>
        </w:tc>
      </w:tr>
      <w:tr w14:paraId="2F2C0A8C">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523FE63D">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2969EC5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数据库审计服务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09D4E86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支持Oracle、SQL-Server、DB2、MySQL等数据库审计。（1套为1个数据库实例）</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E4F5FC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1套</w:t>
            </w:r>
            <w:r>
              <w:rPr>
                <w:rFonts w:hint="eastAsia" w:ascii="宋体" w:hAnsi="宋体" w:eastAsia="宋体" w:cs="宋体"/>
                <w:color w:val="000000"/>
                <w:kern w:val="0"/>
                <w:sz w:val="24"/>
                <w:highlight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3F5DD96F">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p>
        </w:tc>
      </w:tr>
      <w:tr w14:paraId="1E65CED1">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34DBECD4">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2070132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短信服务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630FE1E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提供短信接口服务</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44D5B29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1条</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DEECA1A">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2000000</w:t>
            </w:r>
          </w:p>
        </w:tc>
      </w:tr>
      <w:tr w14:paraId="215B3ED4">
        <w:tblPrEx>
          <w:tblCellMar>
            <w:top w:w="0" w:type="dxa"/>
            <w:left w:w="108" w:type="dxa"/>
            <w:bottom w:w="0" w:type="dxa"/>
            <w:right w:w="108" w:type="dxa"/>
          </w:tblCellMar>
        </w:tblPrEx>
        <w:trPr>
          <w:trHeight w:val="315"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14:paraId="14231036">
            <w:pPr>
              <w:jc w:val="center"/>
              <w:rPr>
                <w:rFonts w:ascii="宋体" w:hAnsi="宋体" w:eastAsia="宋体" w:cs="宋体"/>
                <w:color w:val="000000"/>
                <w:sz w:val="24"/>
                <w:highlight w:val="none"/>
              </w:rPr>
            </w:pP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763D04F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数据共享交换平台运维服务</w:t>
            </w:r>
          </w:p>
        </w:tc>
        <w:tc>
          <w:tcPr>
            <w:tcW w:w="3835" w:type="dxa"/>
            <w:tcBorders>
              <w:top w:val="single" w:color="000000" w:sz="4" w:space="0"/>
              <w:left w:val="single" w:color="000000" w:sz="4" w:space="0"/>
              <w:bottom w:val="single" w:color="000000" w:sz="4" w:space="0"/>
              <w:right w:val="single" w:color="000000" w:sz="4" w:space="0"/>
            </w:tcBorders>
            <w:noWrap/>
            <w:vAlign w:val="center"/>
          </w:tcPr>
          <w:p w14:paraId="1F84426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提供数据共享交换平台运行维护保障、升级服务等</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47E810E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1天</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099E59E0">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52</w:t>
            </w:r>
          </w:p>
        </w:tc>
      </w:tr>
    </w:tbl>
    <w:p w14:paraId="14AF7893">
      <w:pPr>
        <w:widowControl w:val="0"/>
        <w:adjustRightInd w:val="0"/>
        <w:spacing w:line="360" w:lineRule="auto"/>
        <w:ind w:firstLine="424" w:firstLineChars="177"/>
        <w:contextualSpacing/>
        <w:jc w:val="left"/>
        <w:rPr>
          <w:rFonts w:ascii="宋体" w:hAnsi="宋体" w:eastAsia="宋体" w:cs="宋体"/>
          <w:bCs/>
          <w:kern w:val="2"/>
          <w:sz w:val="24"/>
          <w:szCs w:val="24"/>
          <w:highlight w:val="none"/>
          <w:lang w:val="en-US" w:eastAsia="zh-CN" w:bidi="ar-SA"/>
        </w:rPr>
      </w:pPr>
    </w:p>
    <w:p w14:paraId="3FB76F14">
      <w:pPr>
        <w:widowControl w:val="0"/>
        <w:ind w:firstLine="480" w:firstLineChars="200"/>
        <w:jc w:val="both"/>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2.3</w:t>
      </w:r>
      <w:r>
        <w:rPr>
          <w:rFonts w:hint="eastAsia" w:ascii="宋体" w:hAnsi="宋体" w:eastAsia="宋体" w:cs="宋体"/>
          <w:kern w:val="2"/>
          <w:sz w:val="24"/>
          <w:szCs w:val="24"/>
          <w:highlight w:val="none"/>
          <w:lang w:val="zh-CN" w:eastAsia="zh-CN" w:bidi="ar-SA"/>
        </w:rPr>
        <w:t>基础安全保障服务清单</w:t>
      </w:r>
    </w:p>
    <w:p w14:paraId="4E1BB1FD">
      <w:pPr>
        <w:widowControl w:val="0"/>
        <w:ind w:firstLine="480" w:firstLineChars="200"/>
        <w:jc w:val="both"/>
        <w:rPr>
          <w:rFonts w:ascii="宋体" w:hAnsi="宋体" w:eastAsia="宋体" w:cs="宋体"/>
          <w:kern w:val="2"/>
          <w:sz w:val="24"/>
          <w:szCs w:val="24"/>
          <w:highlight w:val="none"/>
          <w:lang w:val="zh-CN" w:eastAsia="zh-CN" w:bidi="ar-SA"/>
        </w:rPr>
      </w:pPr>
    </w:p>
    <w:tbl>
      <w:tblPr>
        <w:tblStyle w:val="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257"/>
        <w:gridCol w:w="5002"/>
      </w:tblGrid>
      <w:tr w14:paraId="6F10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shd w:val="clear" w:color="auto" w:fill="D7D7D7"/>
            <w:vAlign w:val="center"/>
          </w:tcPr>
          <w:p w14:paraId="6D33D9EB">
            <w:pPr>
              <w:snapToGrid w:val="0"/>
              <w:spacing w:line="400" w:lineRule="exact"/>
              <w:contextualSpacing/>
              <w:jc w:val="center"/>
              <w:rPr>
                <w:rFonts w:ascii="宋体" w:hAnsi="宋体" w:eastAsia="宋体" w:cs="宋体"/>
                <w:sz w:val="24"/>
                <w:highlight w:val="none"/>
                <w:lang w:val="zh-CN"/>
              </w:rPr>
            </w:pPr>
            <w:r>
              <w:rPr>
                <w:rFonts w:hint="eastAsia" w:ascii="宋体" w:hAnsi="宋体" w:eastAsia="宋体" w:cs="宋体"/>
                <w:sz w:val="24"/>
                <w:highlight w:val="none"/>
              </w:rPr>
              <w:t>服务类别</w:t>
            </w:r>
          </w:p>
        </w:tc>
        <w:tc>
          <w:tcPr>
            <w:tcW w:w="2257" w:type="dxa"/>
            <w:shd w:val="clear" w:color="auto" w:fill="D7D7D7"/>
            <w:vAlign w:val="center"/>
          </w:tcPr>
          <w:p w14:paraId="0FFA459C">
            <w:pPr>
              <w:snapToGrid w:val="0"/>
              <w:spacing w:line="400" w:lineRule="exact"/>
              <w:contextualSpacing/>
              <w:jc w:val="center"/>
              <w:rPr>
                <w:rFonts w:ascii="宋体" w:hAnsi="宋体" w:eastAsia="宋体" w:cs="宋体"/>
                <w:sz w:val="24"/>
                <w:highlight w:val="none"/>
                <w:lang w:val="zh-CN"/>
              </w:rPr>
            </w:pPr>
            <w:r>
              <w:rPr>
                <w:rFonts w:hint="eastAsia" w:ascii="宋体" w:hAnsi="宋体" w:eastAsia="宋体" w:cs="宋体"/>
                <w:sz w:val="24"/>
                <w:highlight w:val="none"/>
              </w:rPr>
              <w:t>服务目录</w:t>
            </w:r>
          </w:p>
        </w:tc>
        <w:tc>
          <w:tcPr>
            <w:tcW w:w="5002" w:type="dxa"/>
            <w:shd w:val="clear" w:color="auto" w:fill="D7D7D7"/>
            <w:vAlign w:val="center"/>
          </w:tcPr>
          <w:p w14:paraId="36F947E9">
            <w:pPr>
              <w:snapToGrid w:val="0"/>
              <w:spacing w:line="400" w:lineRule="exact"/>
              <w:contextualSpacing/>
              <w:jc w:val="center"/>
              <w:rPr>
                <w:rFonts w:ascii="宋体" w:hAnsi="宋体" w:eastAsia="宋体" w:cs="宋体"/>
                <w:sz w:val="24"/>
                <w:highlight w:val="none"/>
                <w:lang w:val="zh-CN"/>
              </w:rPr>
            </w:pPr>
            <w:r>
              <w:rPr>
                <w:rFonts w:hint="eastAsia" w:ascii="宋体" w:hAnsi="宋体" w:eastAsia="宋体" w:cs="宋体"/>
                <w:sz w:val="24"/>
                <w:highlight w:val="none"/>
              </w:rPr>
              <w:t>服务项</w:t>
            </w:r>
          </w:p>
        </w:tc>
      </w:tr>
      <w:tr w14:paraId="05C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restart"/>
            <w:vAlign w:val="center"/>
          </w:tcPr>
          <w:p w14:paraId="55F3250F">
            <w:pPr>
              <w:snapToGrid w:val="0"/>
              <w:spacing w:line="400" w:lineRule="exact"/>
              <w:contextualSpacing/>
              <w:jc w:val="center"/>
              <w:rPr>
                <w:rFonts w:ascii="宋体" w:hAnsi="宋体" w:eastAsia="宋体" w:cs="宋体"/>
                <w:sz w:val="24"/>
                <w:highlight w:val="none"/>
                <w:lang w:val="zh-CN"/>
              </w:rPr>
            </w:pPr>
            <w:r>
              <w:rPr>
                <w:rFonts w:hint="eastAsia" w:ascii="宋体" w:hAnsi="宋体" w:eastAsia="宋体" w:cs="宋体"/>
                <w:sz w:val="24"/>
                <w:highlight w:val="none"/>
              </w:rPr>
              <w:t>安全管理服务</w:t>
            </w:r>
          </w:p>
        </w:tc>
        <w:tc>
          <w:tcPr>
            <w:tcW w:w="2257" w:type="dxa"/>
            <w:vAlign w:val="center"/>
          </w:tcPr>
          <w:p w14:paraId="0E4A213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运维人员管理</w:t>
            </w:r>
          </w:p>
        </w:tc>
        <w:tc>
          <w:tcPr>
            <w:tcW w:w="5002" w:type="dxa"/>
            <w:vAlign w:val="center"/>
          </w:tcPr>
          <w:p w14:paraId="44AE439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7x24小时运维人员管理、安全登记</w:t>
            </w:r>
          </w:p>
        </w:tc>
      </w:tr>
      <w:tr w14:paraId="3E28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46DADB7F">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60A4E11F">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机房运维管理</w:t>
            </w:r>
          </w:p>
        </w:tc>
        <w:tc>
          <w:tcPr>
            <w:tcW w:w="5002" w:type="dxa"/>
            <w:vAlign w:val="center"/>
          </w:tcPr>
          <w:p w14:paraId="2A777141">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机房设备管理、安全控制</w:t>
            </w:r>
          </w:p>
        </w:tc>
      </w:tr>
      <w:tr w14:paraId="4F82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6CC68B5C">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3C28F2F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应急演练</w:t>
            </w:r>
          </w:p>
        </w:tc>
        <w:tc>
          <w:tcPr>
            <w:tcW w:w="5002" w:type="dxa"/>
            <w:vAlign w:val="center"/>
          </w:tcPr>
          <w:p w14:paraId="08006B37">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协助使用单位进行安全应急演练</w:t>
            </w:r>
          </w:p>
        </w:tc>
      </w:tr>
      <w:tr w14:paraId="0E72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restart"/>
            <w:vAlign w:val="center"/>
          </w:tcPr>
          <w:p w14:paraId="1D5F0A1E">
            <w:pPr>
              <w:snapToGrid w:val="0"/>
              <w:spacing w:line="400" w:lineRule="exact"/>
              <w:contextualSpacing/>
              <w:jc w:val="center"/>
              <w:rPr>
                <w:rFonts w:ascii="宋体" w:hAnsi="宋体" w:eastAsia="宋体" w:cs="宋体"/>
                <w:sz w:val="24"/>
                <w:highlight w:val="none"/>
              </w:rPr>
            </w:pPr>
          </w:p>
          <w:p w14:paraId="107EB849">
            <w:pPr>
              <w:snapToGrid w:val="0"/>
              <w:spacing w:line="400" w:lineRule="exact"/>
              <w:contextualSpacing/>
              <w:jc w:val="center"/>
              <w:rPr>
                <w:rFonts w:ascii="宋体" w:hAnsi="宋体" w:eastAsia="宋体" w:cs="宋体"/>
                <w:sz w:val="24"/>
                <w:highlight w:val="none"/>
              </w:rPr>
            </w:pPr>
          </w:p>
          <w:p w14:paraId="77C729B1">
            <w:pPr>
              <w:snapToGrid w:val="0"/>
              <w:spacing w:line="400" w:lineRule="exact"/>
              <w:contextualSpacing/>
              <w:jc w:val="center"/>
              <w:rPr>
                <w:rFonts w:ascii="宋体" w:hAnsi="宋体" w:eastAsia="宋体" w:cs="宋体"/>
                <w:sz w:val="24"/>
                <w:highlight w:val="none"/>
              </w:rPr>
            </w:pPr>
          </w:p>
          <w:p w14:paraId="4327A88B">
            <w:pPr>
              <w:snapToGrid w:val="0"/>
              <w:spacing w:line="400" w:lineRule="exact"/>
              <w:contextualSpacing/>
              <w:jc w:val="center"/>
              <w:rPr>
                <w:rFonts w:ascii="宋体" w:hAnsi="宋体" w:eastAsia="宋体" w:cs="宋体"/>
                <w:sz w:val="24"/>
                <w:highlight w:val="none"/>
                <w:lang w:val="zh-CN"/>
              </w:rPr>
            </w:pPr>
            <w:r>
              <w:rPr>
                <w:rFonts w:hint="eastAsia" w:ascii="宋体" w:hAnsi="宋体" w:eastAsia="宋体" w:cs="宋体"/>
                <w:sz w:val="24"/>
                <w:highlight w:val="none"/>
              </w:rPr>
              <w:t>安全技术服务</w:t>
            </w:r>
          </w:p>
        </w:tc>
        <w:tc>
          <w:tcPr>
            <w:tcW w:w="2257" w:type="dxa"/>
            <w:vAlign w:val="center"/>
          </w:tcPr>
          <w:p w14:paraId="18E85CC1">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物理访问控制</w:t>
            </w:r>
          </w:p>
        </w:tc>
        <w:tc>
          <w:tcPr>
            <w:tcW w:w="5002" w:type="dxa"/>
            <w:vAlign w:val="center"/>
          </w:tcPr>
          <w:p w14:paraId="4D580798">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机房进出控制、监控等</w:t>
            </w:r>
          </w:p>
        </w:tc>
      </w:tr>
      <w:tr w14:paraId="7038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355BC2D8">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752FD857">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机房三防服务</w:t>
            </w:r>
          </w:p>
        </w:tc>
        <w:tc>
          <w:tcPr>
            <w:tcW w:w="5002" w:type="dxa"/>
            <w:vAlign w:val="center"/>
          </w:tcPr>
          <w:p w14:paraId="1803B682">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机房防火、防盗、防雷电</w:t>
            </w:r>
          </w:p>
        </w:tc>
      </w:tr>
      <w:tr w14:paraId="3F98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5E79915A">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16F199F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设备访问审计</w:t>
            </w:r>
          </w:p>
        </w:tc>
        <w:tc>
          <w:tcPr>
            <w:tcW w:w="5002" w:type="dxa"/>
            <w:vAlign w:val="center"/>
          </w:tcPr>
          <w:p w14:paraId="18E2B5B0">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设备访问记录、日志统计、安全事件</w:t>
            </w:r>
          </w:p>
        </w:tc>
      </w:tr>
      <w:tr w14:paraId="3A92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10FC8DEB">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49A85188">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出口流量监测</w:t>
            </w:r>
          </w:p>
        </w:tc>
        <w:tc>
          <w:tcPr>
            <w:tcW w:w="5002" w:type="dxa"/>
            <w:vAlign w:val="center"/>
          </w:tcPr>
          <w:p w14:paraId="1607A6D2">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出口流量控制、检测，并且可观测数据，互联网网络行为审计</w:t>
            </w:r>
          </w:p>
        </w:tc>
      </w:tr>
      <w:tr w14:paraId="0809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38FA61DD">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4E3836CA">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本地抗DDoS防护</w:t>
            </w:r>
          </w:p>
        </w:tc>
        <w:tc>
          <w:tcPr>
            <w:tcW w:w="5002" w:type="dxa"/>
            <w:vAlign w:val="center"/>
          </w:tcPr>
          <w:p w14:paraId="32BB422C">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云平台整体提供总带宽为20Gb的抗DDoS防护</w:t>
            </w:r>
          </w:p>
        </w:tc>
      </w:tr>
      <w:tr w14:paraId="4984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6936C8C2">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2D84146F">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防火墙安全防护</w:t>
            </w:r>
          </w:p>
        </w:tc>
        <w:tc>
          <w:tcPr>
            <w:tcW w:w="5002" w:type="dxa"/>
            <w:vAlign w:val="center"/>
          </w:tcPr>
          <w:p w14:paraId="4F9EECE4">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出口安全</w:t>
            </w:r>
          </w:p>
        </w:tc>
      </w:tr>
      <w:tr w14:paraId="13D6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05E89A1B">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32C0DD91">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防入侵监测IPS</w:t>
            </w:r>
          </w:p>
        </w:tc>
        <w:tc>
          <w:tcPr>
            <w:tcW w:w="5002" w:type="dxa"/>
            <w:vAlign w:val="center"/>
          </w:tcPr>
          <w:p w14:paraId="61AE77DB">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防入侵监测</w:t>
            </w:r>
          </w:p>
        </w:tc>
      </w:tr>
      <w:tr w14:paraId="0D01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141537F1">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23B1A24D">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远程接入服务</w:t>
            </w:r>
          </w:p>
        </w:tc>
        <w:tc>
          <w:tcPr>
            <w:tcW w:w="5002" w:type="dxa"/>
            <w:vAlign w:val="center"/>
          </w:tcPr>
          <w:p w14:paraId="60A9874C">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提供1个远程登录堡垒机的运维账号</w:t>
            </w:r>
          </w:p>
        </w:tc>
      </w:tr>
      <w:tr w14:paraId="09F3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33B80CD8">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2638577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租户隔离</w:t>
            </w:r>
          </w:p>
        </w:tc>
        <w:tc>
          <w:tcPr>
            <w:tcW w:w="5002" w:type="dxa"/>
            <w:vAlign w:val="center"/>
          </w:tcPr>
          <w:p w14:paraId="07B2A64A">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租户虚拟化层隔离</w:t>
            </w:r>
          </w:p>
        </w:tc>
      </w:tr>
      <w:tr w14:paraId="3D33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5E3D75BE">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37A2F869">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租户内部访问控制</w:t>
            </w:r>
          </w:p>
        </w:tc>
        <w:tc>
          <w:tcPr>
            <w:tcW w:w="5002" w:type="dxa"/>
            <w:vAlign w:val="center"/>
          </w:tcPr>
          <w:p w14:paraId="56C2F1F8">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租户内部访问权限控制，用户可以自由分配</w:t>
            </w:r>
          </w:p>
        </w:tc>
      </w:tr>
      <w:tr w14:paraId="2BA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506811D0">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722BC007">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云主机监控</w:t>
            </w:r>
          </w:p>
        </w:tc>
        <w:tc>
          <w:tcPr>
            <w:tcW w:w="5002" w:type="dxa"/>
            <w:vAlign w:val="center"/>
          </w:tcPr>
          <w:p w14:paraId="72EE1ACC">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提供云上资源的基本监控，包括CPU、内存使用率等</w:t>
            </w:r>
          </w:p>
        </w:tc>
      </w:tr>
      <w:tr w14:paraId="2F04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0B405D85">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59AD8A9F">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角色权限管理</w:t>
            </w:r>
          </w:p>
        </w:tc>
        <w:tc>
          <w:tcPr>
            <w:tcW w:w="5002" w:type="dxa"/>
            <w:vAlign w:val="center"/>
          </w:tcPr>
          <w:p w14:paraId="1644DF04">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提供通过代入角色实现获取操作权限</w:t>
            </w:r>
          </w:p>
        </w:tc>
      </w:tr>
      <w:tr w14:paraId="3EBD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Merge w:val="continue"/>
            <w:vAlign w:val="center"/>
          </w:tcPr>
          <w:p w14:paraId="12BCF62C">
            <w:pPr>
              <w:snapToGrid w:val="0"/>
              <w:spacing w:line="400" w:lineRule="exact"/>
              <w:contextualSpacing/>
              <w:jc w:val="center"/>
              <w:rPr>
                <w:rFonts w:ascii="宋体" w:hAnsi="宋体" w:eastAsia="宋体" w:cs="宋体"/>
                <w:sz w:val="24"/>
                <w:highlight w:val="none"/>
                <w:lang w:val="zh-CN"/>
              </w:rPr>
            </w:pPr>
          </w:p>
        </w:tc>
        <w:tc>
          <w:tcPr>
            <w:tcW w:w="2257" w:type="dxa"/>
            <w:vAlign w:val="center"/>
          </w:tcPr>
          <w:p w14:paraId="34D5A15A">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监控平台接入服务</w:t>
            </w:r>
          </w:p>
        </w:tc>
        <w:tc>
          <w:tcPr>
            <w:tcW w:w="5002" w:type="dxa"/>
            <w:vAlign w:val="center"/>
          </w:tcPr>
          <w:p w14:paraId="344AC8C1">
            <w:pPr>
              <w:snapToGrid w:val="0"/>
              <w:spacing w:line="400" w:lineRule="exact"/>
              <w:contextualSpacing/>
              <w:rPr>
                <w:rFonts w:ascii="宋体" w:hAnsi="宋体" w:eastAsia="宋体" w:cs="宋体"/>
                <w:sz w:val="24"/>
                <w:highlight w:val="none"/>
                <w:lang w:val="zh-CN"/>
              </w:rPr>
            </w:pPr>
            <w:r>
              <w:rPr>
                <w:rFonts w:hint="eastAsia" w:ascii="宋体" w:hAnsi="宋体" w:eastAsia="宋体" w:cs="宋体"/>
                <w:sz w:val="24"/>
                <w:highlight w:val="none"/>
              </w:rPr>
              <w:t>可提供租户管辖内的云资源监控数据接口调用</w:t>
            </w:r>
          </w:p>
        </w:tc>
      </w:tr>
    </w:tbl>
    <w:p w14:paraId="4546472B">
      <w:pPr>
        <w:widowControl w:val="0"/>
        <w:adjustRightInd w:val="0"/>
        <w:spacing w:line="360" w:lineRule="auto"/>
        <w:ind w:firstLine="0" w:firstLineChars="0"/>
        <w:contextualSpacing/>
        <w:jc w:val="left"/>
        <w:rPr>
          <w:rFonts w:ascii="宋体" w:hAnsi="宋体" w:eastAsia="宋体" w:cs="宋体"/>
          <w:bCs/>
          <w:kern w:val="2"/>
          <w:sz w:val="24"/>
          <w:szCs w:val="24"/>
          <w:highlight w:val="none"/>
          <w:lang w:val="en-US" w:eastAsia="zh-CN" w:bidi="ar-SA"/>
        </w:rPr>
      </w:pPr>
    </w:p>
    <w:p w14:paraId="1094B51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ascii="宋体" w:hAnsi="宋体" w:eastAsia="宋体" w:cs="宋体"/>
          <w:i/>
          <w:iCs/>
          <w:sz w:val="24"/>
          <w:highlight w:val="none"/>
        </w:rPr>
      </w:pPr>
      <w:r>
        <w:rPr>
          <w:rFonts w:hint="eastAsia" w:ascii="宋体" w:hAnsi="宋体" w:eastAsia="宋体" w:cs="宋体"/>
          <w:sz w:val="24"/>
          <w:highlight w:val="none"/>
        </w:rPr>
        <w:t>3. 验收要求</w:t>
      </w:r>
    </w:p>
    <w:p w14:paraId="65663267">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3.1验收标准</w:t>
      </w:r>
    </w:p>
    <w:p w14:paraId="7CAFC1CA">
      <w:pPr>
        <w:keepNext w:val="0"/>
        <w:keepLines w:val="0"/>
        <w:pageBreakBefore w:val="0"/>
        <w:widowControl w:val="0"/>
        <w:kinsoku/>
        <w:wordWrap/>
        <w:overflowPunct/>
        <w:topLinePunct w:val="0"/>
        <w:autoSpaceDE/>
        <w:autoSpaceDN/>
        <w:bidi w:val="0"/>
        <w:adjustRightInd/>
        <w:spacing w:line="400" w:lineRule="exact"/>
        <w:ind w:firstLine="482"/>
        <w:jc w:val="both"/>
        <w:textAlignment w:val="auto"/>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中标人提供的项目技术支持及成果质量符合国家或相关行业标准，并满足合同约定的要求。</w:t>
      </w:r>
    </w:p>
    <w:p w14:paraId="117BCE94">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3.2验收方式</w:t>
      </w:r>
    </w:p>
    <w:p w14:paraId="2AA21933">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
          <w:sz w:val="24"/>
          <w:highlight w:val="none"/>
        </w:rPr>
      </w:pPr>
      <w:r>
        <w:rPr>
          <w:rFonts w:hint="eastAsia" w:ascii="宋体" w:hAnsi="宋体" w:eastAsia="宋体" w:cs="宋体"/>
          <w:bCs/>
          <w:sz w:val="24"/>
          <w:highlight w:val="none"/>
          <w:lang w:val="zh-CN"/>
        </w:rPr>
        <w:t>在服务期满后</w:t>
      </w:r>
      <w:r>
        <w:rPr>
          <w:rFonts w:hint="eastAsia" w:ascii="宋体" w:hAnsi="宋体" w:eastAsia="宋体" w:cs="宋体"/>
          <w:bCs/>
          <w:sz w:val="24"/>
          <w:highlight w:val="none"/>
        </w:rPr>
        <w:t>2</w:t>
      </w:r>
      <w:r>
        <w:rPr>
          <w:rFonts w:hint="eastAsia" w:ascii="宋体" w:hAnsi="宋体" w:eastAsia="宋体" w:cs="宋体"/>
          <w:bCs/>
          <w:sz w:val="24"/>
          <w:highlight w:val="none"/>
          <w:lang w:val="zh-CN"/>
        </w:rPr>
        <w:t>0 个工作日内，中标人向采购人提交验收材料后，由采购人组织验收工作。验收材料包括但不限于合同规定的各项服务清单等。验收不合格的，中标人应当在15 日内进行调整，并重新提交验收。</w:t>
      </w:r>
    </w:p>
    <w:p w14:paraId="1340CC0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4. 云平台安全防护能力</w:t>
      </w:r>
    </w:p>
    <w:p w14:paraId="7FDDDB24">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投标人需提供标准云平台的安全管理服务和安全技术服务，包括但不限于云平台7*24小时监控、机房运维管理、应急演练、物理访问控制、机房三防、租户隔离、角色权限管理等。</w:t>
      </w:r>
    </w:p>
    <w:p w14:paraId="5D2C1C9A">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eastAsia="zh-Hans"/>
        </w:rPr>
      </w:pPr>
      <w:r>
        <w:rPr>
          <w:rFonts w:hint="eastAsia" w:ascii="宋体" w:hAnsi="宋体" w:eastAsia="宋体" w:cs="宋体"/>
          <w:bCs/>
          <w:sz w:val="24"/>
          <w:highlight w:val="none"/>
          <w:lang w:val="zh-CN"/>
        </w:rPr>
        <w:t>投标人所投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22239-2019）第三级要求，并积极配合采购人根据各业务系统具体等保需求，开展相应等保评估、检查、整改等工作。投标人管辖范围内的硬件、软件及支撑环境资源，至少达到业务系统的最高安全等级要求。投</w:t>
      </w:r>
      <w:r>
        <w:rPr>
          <w:rFonts w:hint="eastAsia" w:ascii="宋体" w:hAnsi="宋体" w:eastAsia="宋体" w:cs="宋体"/>
          <w:bCs/>
          <w:sz w:val="24"/>
          <w:highlight w:val="none"/>
          <w:lang w:eastAsia="zh-CN"/>
        </w:rPr>
        <w:t>标人</w:t>
      </w:r>
      <w:r>
        <w:rPr>
          <w:rFonts w:hint="eastAsia" w:ascii="宋体" w:hAnsi="宋体" w:eastAsia="宋体" w:cs="宋体"/>
          <w:bCs/>
          <w:sz w:val="24"/>
          <w:highlight w:val="none"/>
          <w:lang w:eastAsia="zh-Hans"/>
        </w:rPr>
        <w:t>提供的网站安全防护能力包括但不限于：Web攻击防护能力、DDoS攻击防护能力、CC攻击防护能力、高防DNS、爬虫攻击防护能力、敏感词过滤、双协议栈（支持IPv4、IPv6双协议并存）、攻击告警等。</w:t>
      </w:r>
    </w:p>
    <w:p w14:paraId="0A8EE1C5">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投标人所投云平台通过中央网信办云计算服务安全评估。</w:t>
      </w:r>
    </w:p>
    <w:p w14:paraId="5622C895">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eastAsia="zh-Hans"/>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lang w:eastAsia="zh-Hans"/>
        </w:rPr>
        <w:t>所投云平台应具备商用密码服务能力，并通过商用密码应用安全性评估。</w:t>
      </w:r>
    </w:p>
    <w:p w14:paraId="5245E8D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5. 运维保障服务</w:t>
      </w:r>
    </w:p>
    <w:p w14:paraId="5AFE0D63">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5.1</w:t>
      </w:r>
      <w:r>
        <w:rPr>
          <w:rFonts w:hint="eastAsia" w:ascii="宋体" w:hAnsi="宋体" w:eastAsia="宋体" w:cs="宋体"/>
          <w:kern w:val="2"/>
          <w:sz w:val="24"/>
          <w:szCs w:val="24"/>
          <w:highlight w:val="none"/>
          <w:lang w:val="zh-CN" w:eastAsia="zh-CN" w:bidi="ar-SA"/>
        </w:rPr>
        <w:t>服务规范</w:t>
      </w:r>
    </w:p>
    <w:p w14:paraId="6249B3A8">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投标人须严格按照政务云管理单位和采购单位制定的管理办法、流程、应急制度、文档管理、资产管理、基线管理、人员管理与培训、知识库管理、安全管理等相关制度，规范地开展标准化的运维服务工作。</w:t>
      </w:r>
    </w:p>
    <w:p w14:paraId="65AA04F9">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5.2</w:t>
      </w:r>
      <w:r>
        <w:rPr>
          <w:rFonts w:hint="eastAsia" w:ascii="宋体" w:hAnsi="宋体" w:eastAsia="宋体" w:cs="宋体"/>
          <w:kern w:val="2"/>
          <w:sz w:val="24"/>
          <w:szCs w:val="24"/>
          <w:highlight w:val="none"/>
          <w:lang w:val="zh-CN" w:eastAsia="zh-CN" w:bidi="ar-SA"/>
        </w:rPr>
        <w:t>运维要求</w:t>
      </w:r>
    </w:p>
    <w:p w14:paraId="0F101D2D">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投标人需利用监控系统或人工对机房环境、硬件设备及应用系统的运行情况进行7*24小时的监控，及时发现安全隐患，通知相关人员及时处理，并形成监控报告。</w:t>
      </w:r>
    </w:p>
    <w:p w14:paraId="155EA294">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2426A145">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5.3</w:t>
      </w:r>
      <w:r>
        <w:rPr>
          <w:rFonts w:hint="eastAsia" w:ascii="宋体" w:hAnsi="宋体" w:eastAsia="宋体" w:cs="宋体"/>
          <w:kern w:val="2"/>
          <w:sz w:val="24"/>
          <w:szCs w:val="24"/>
          <w:highlight w:val="none"/>
          <w:lang w:val="zh-CN" w:eastAsia="zh-CN" w:bidi="ar-SA"/>
        </w:rPr>
        <w:t>安全及保密要求</w:t>
      </w:r>
    </w:p>
    <w:p w14:paraId="0569C368">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投标人须严格遵守采购人的相关信息安全规定，不得利用系统维护服务时的便利对采购人数据及其他信息擅自修改或透漏给第三方。</w:t>
      </w:r>
    </w:p>
    <w:p w14:paraId="4C31C9A4">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5.4</w:t>
      </w:r>
      <w:r>
        <w:rPr>
          <w:rFonts w:hint="eastAsia" w:ascii="宋体" w:hAnsi="宋体" w:eastAsia="宋体" w:cs="宋体"/>
          <w:kern w:val="2"/>
          <w:sz w:val="24"/>
          <w:szCs w:val="24"/>
          <w:highlight w:val="none"/>
          <w:lang w:val="zh-CN" w:eastAsia="zh-CN" w:bidi="ar-SA"/>
        </w:rPr>
        <w:t>响应及时性要求</w:t>
      </w:r>
    </w:p>
    <w:p w14:paraId="6E8F0BE3">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应当提供高效的系统监控服务，有效防范系统风险，负责人7*24小时电话畅通，在系统发生故障时，投标人应在5分钟内响应，在30分钟之内处理故障，如需要运维人员现场处置的，应能协调人力资源在1小时内到达运维现场提供服务。</w:t>
      </w:r>
    </w:p>
    <w:p w14:paraId="7A7EC8D4">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5.5</w:t>
      </w:r>
      <w:r>
        <w:rPr>
          <w:rFonts w:hint="eastAsia" w:ascii="宋体" w:hAnsi="宋体" w:eastAsia="宋体" w:cs="宋体"/>
          <w:kern w:val="2"/>
          <w:sz w:val="24"/>
          <w:szCs w:val="24"/>
          <w:highlight w:val="none"/>
          <w:lang w:val="zh-CN" w:eastAsia="zh-CN" w:bidi="ar-SA"/>
        </w:rPr>
        <w:t>重点保障要求</w:t>
      </w:r>
    </w:p>
    <w:p w14:paraId="516C100F">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为保障五一、十一、春节、两会等重要时期以及业务高峰期内的系统平稳运行，要求投标人根据业务周期性特点，加大运维保障力度，保证在业务高峰期内系统平稳运行。</w:t>
      </w:r>
    </w:p>
    <w:p w14:paraId="7DABD1D2">
      <w:pPr>
        <w:keepNext w:val="0"/>
        <w:keepLines w:val="0"/>
        <w:pageBreakBefore w:val="0"/>
        <w:widowControl w:val="0"/>
        <w:kinsoku/>
        <w:wordWrap/>
        <w:overflowPunct/>
        <w:topLinePunct w:val="0"/>
        <w:autoSpaceDE/>
        <w:autoSpaceDN/>
        <w:bidi w:val="0"/>
        <w:adjustRightInd/>
        <w:spacing w:line="400" w:lineRule="exact"/>
        <w:ind w:firstLine="480" w:firstLineChars="200"/>
        <w:jc w:val="both"/>
        <w:textAlignment w:val="auto"/>
        <w:rPr>
          <w:rFonts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5.6</w:t>
      </w:r>
      <w:r>
        <w:rPr>
          <w:rFonts w:hint="eastAsia" w:ascii="宋体" w:hAnsi="宋体" w:eastAsia="宋体" w:cs="宋体"/>
          <w:kern w:val="2"/>
          <w:sz w:val="24"/>
          <w:szCs w:val="24"/>
          <w:highlight w:val="none"/>
          <w:lang w:val="zh-CN" w:eastAsia="zh-CN" w:bidi="ar-SA"/>
        </w:rPr>
        <w:t>应急保障和风险防控措施</w:t>
      </w:r>
    </w:p>
    <w:p w14:paraId="28AE8147">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投标人应具备相应的应急预案与风险防控措施,在云平台运行维护期间，出现应急情况和风险状况时，按照预案处置，快速解决问题。</w:t>
      </w:r>
    </w:p>
    <w:p w14:paraId="2E12FB0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6. 服务团队</w:t>
      </w:r>
      <w:r>
        <w:rPr>
          <w:rFonts w:hint="eastAsia" w:ascii="宋体" w:hAnsi="宋体" w:eastAsia="宋体" w:cs="宋体"/>
          <w:sz w:val="24"/>
          <w:highlight w:val="none"/>
          <w:lang w:eastAsia="zh-CN"/>
        </w:rPr>
        <w:t>要求</w:t>
      </w:r>
    </w:p>
    <w:p w14:paraId="68A65312">
      <w:pPr>
        <w:keepNext w:val="0"/>
        <w:keepLines w:val="0"/>
        <w:pageBreakBefore w:val="0"/>
        <w:widowControl w:val="0"/>
        <w:kinsoku/>
        <w:wordWrap/>
        <w:overflowPunct/>
        <w:topLinePunct w:val="0"/>
        <w:autoSpaceDE/>
        <w:autoSpaceDN/>
        <w:bidi w:val="0"/>
        <w:adjustRightInd/>
        <w:spacing w:line="400" w:lineRule="exact"/>
        <w:ind w:firstLine="480" w:firstLineChars="200"/>
        <w:contextualSpacing/>
        <w:textAlignment w:val="auto"/>
        <w:rPr>
          <w:rFonts w:hint="eastAsia" w:ascii="宋体" w:hAnsi="宋体" w:eastAsia="宋体" w:cs="宋体"/>
          <w:sz w:val="24"/>
          <w:highlight w:val="none"/>
          <w:lang w:val="zh-CN" w:eastAsia="zh-CN"/>
        </w:rPr>
      </w:pPr>
      <w:r>
        <w:rPr>
          <w:rFonts w:hint="eastAsia" w:ascii="宋体" w:hAnsi="宋体" w:eastAsia="宋体" w:cs="宋体"/>
          <w:bCs/>
          <w:sz w:val="24"/>
          <w:highlight w:val="none"/>
          <w:lang w:val="en-US" w:eastAsia="zh-CN"/>
        </w:rPr>
        <w:t>投标人须根据项目要求安排具备相应资质和经验的专业人员从事本项目工作，提供服务团队，须确保项目实施队伍的稳定，提供本地化服务。投标人需提供项目团队组织架构、成员名单、成员职责，保证担任重要岗位的人员具备相应专业资质。</w:t>
      </w:r>
    </w:p>
    <w:p w14:paraId="1CCA257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7. 业务连续性要求</w:t>
      </w:r>
    </w:p>
    <w:p w14:paraId="514F28D3">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本项目涉及的应用系统为采购人在用的生产系统，目前在北京市政务云上平稳运行，因此业务连续性是首要的保障需求。</w:t>
      </w:r>
    </w:p>
    <w:p w14:paraId="1CAA4B63">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具体要求如下：</w:t>
      </w:r>
    </w:p>
    <w:p w14:paraId="55C10C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rPr>
        <w:t>1</w:t>
      </w:r>
      <w:r>
        <w:rPr>
          <w:rFonts w:hint="eastAsia" w:ascii="宋体" w:hAnsi="宋体" w:eastAsia="宋体" w:cs="宋体"/>
          <w:bCs/>
          <w:sz w:val="24"/>
          <w:highlight w:val="none"/>
          <w:lang w:val="zh-CN"/>
        </w:rPr>
        <w:t>）本项目如涉及系统迁移，投标人需编制业务连续性服务方案。投标人以迁移时间窗口与进度要求为总约束，合理规划，科学组织。迁移部署服务子方案应包括（但不限于）政务云资源配置、应用迁移、数据迁移、测试验证、业务割接、风险评估、迁移期间安全保障、迁移期间应急保障、迁移期间运维保障等内容。</w:t>
      </w:r>
    </w:p>
    <w:p w14:paraId="5F97D3E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Cs/>
          <w:sz w:val="24"/>
          <w:highlight w:val="none"/>
          <w:lang w:val="zh-CN"/>
        </w:rPr>
      </w:pPr>
      <w:r>
        <w:rPr>
          <w:rFonts w:hint="eastAsia" w:ascii="宋体" w:hAnsi="宋体" w:eastAsia="宋体" w:cs="宋体"/>
          <w:bCs/>
          <w:sz w:val="24"/>
          <w:highlight w:val="none"/>
          <w:lang w:val="zh-CN"/>
        </w:rPr>
        <w:t>（</w:t>
      </w:r>
      <w:r>
        <w:rPr>
          <w:rFonts w:hint="eastAsia" w:ascii="宋体" w:hAnsi="宋体" w:eastAsia="宋体" w:cs="宋体"/>
          <w:bCs/>
          <w:sz w:val="24"/>
          <w:highlight w:val="none"/>
        </w:rPr>
        <w:t>2</w:t>
      </w:r>
      <w:r>
        <w:rPr>
          <w:rFonts w:hint="eastAsia" w:ascii="宋体" w:hAnsi="宋体" w:eastAsia="宋体" w:cs="宋体"/>
          <w:bCs/>
          <w:sz w:val="24"/>
          <w:highlight w:val="none"/>
          <w:lang w:val="zh-CN"/>
        </w:rPr>
        <w:t>）本项目如涉及系统迁移，针对已经运行在政务云平台上的应用系统，为确保迁移过程中数据不丢失、系统业务不中断，</w:t>
      </w:r>
      <w:r>
        <w:rPr>
          <w:rFonts w:hint="eastAsia" w:ascii="宋体" w:hAnsi="宋体" w:eastAsia="宋体" w:cs="宋体"/>
          <w:bCs/>
          <w:sz w:val="24"/>
          <w:highlight w:val="none"/>
          <w:lang w:val="en-US" w:eastAsia="zh-CN"/>
        </w:rPr>
        <w:t>投</w:t>
      </w:r>
      <w:r>
        <w:rPr>
          <w:rFonts w:hint="eastAsia" w:ascii="宋体" w:hAnsi="宋体" w:eastAsia="宋体" w:cs="宋体"/>
          <w:bCs/>
          <w:sz w:val="24"/>
          <w:highlight w:val="none"/>
          <w:lang w:val="zh-CN"/>
        </w:rPr>
        <w:t>标人负责与原政务云平台的服务商进行主动对接，投标人需承诺系统迁移涉及的所有费用（包括但不限于投标人迁移测试阶段的云资源费用，第三方对业务系统的部署、调试费用等）由投标人承担。</w:t>
      </w:r>
    </w:p>
    <w:p w14:paraId="6C6D319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ascii="宋体" w:hAnsi="宋体" w:eastAsia="宋体" w:cs="宋体"/>
          <w:sz w:val="24"/>
          <w:highlight w:val="none"/>
        </w:rPr>
      </w:pPr>
      <w:r>
        <w:rPr>
          <w:rFonts w:hint="eastAsia" w:ascii="宋体" w:hAnsi="宋体" w:eastAsia="宋体" w:cs="宋体"/>
          <w:sz w:val="24"/>
          <w:highlight w:val="none"/>
        </w:rPr>
        <w:t>8. 技术指标要求</w:t>
      </w:r>
    </w:p>
    <w:p w14:paraId="409547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Cs/>
          <w:sz w:val="24"/>
          <w:highlight w:val="none"/>
          <w:lang w:val="zh-CN" w:eastAsia="zh-Hans"/>
        </w:rPr>
      </w:pPr>
      <w:r>
        <w:rPr>
          <w:rFonts w:hint="eastAsia" w:ascii="宋体" w:hAnsi="宋体" w:eastAsia="宋体" w:cs="宋体"/>
          <w:bCs/>
          <w:sz w:val="24"/>
          <w:highlight w:val="none"/>
          <w:lang w:val="en-US" w:eastAsia="zh-CN"/>
        </w:rPr>
        <w:t>8.1</w:t>
      </w:r>
      <w:r>
        <w:rPr>
          <w:rFonts w:hint="eastAsia" w:ascii="宋体" w:hAnsi="宋体" w:eastAsia="宋体" w:cs="宋体"/>
          <w:bCs/>
          <w:sz w:val="24"/>
          <w:highlight w:val="none"/>
          <w:lang w:val="zh-CN" w:eastAsia="zh-Hans"/>
        </w:rPr>
        <w:t>云平台运行技术指标应符合国家法规、标准，云平台可用性不低于99.99%，数据可靠性不低于 99.9999%。</w:t>
      </w:r>
    </w:p>
    <w:p w14:paraId="46E43E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Cs/>
          <w:sz w:val="24"/>
          <w:highlight w:val="none"/>
          <w:lang w:val="zh-CN" w:eastAsia="zh-Hans"/>
        </w:rPr>
      </w:pPr>
      <w:r>
        <w:rPr>
          <w:rFonts w:hint="eastAsia" w:ascii="宋体" w:hAnsi="宋体" w:eastAsia="宋体" w:cs="宋体"/>
          <w:bCs/>
          <w:sz w:val="24"/>
          <w:highlight w:val="none"/>
          <w:lang w:val="en-US" w:eastAsia="zh-CN"/>
        </w:rPr>
        <w:t>8.2</w:t>
      </w:r>
      <w:r>
        <w:rPr>
          <w:rFonts w:hint="eastAsia" w:ascii="宋体" w:hAnsi="宋体" w:eastAsia="宋体" w:cs="宋体"/>
          <w:bCs/>
          <w:sz w:val="24"/>
          <w:highlight w:val="none"/>
          <w:lang w:val="zh-CN" w:eastAsia="zh-Hans"/>
        </w:rPr>
        <w:t>云平台具备高可用和动态迁移功能，发生物理设备故障后，虚拟机可以自动迁移到其他可用资源上运行，确保业务系统不受物理设备故障影响。</w:t>
      </w:r>
    </w:p>
    <w:p w14:paraId="7EE164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Cs/>
          <w:sz w:val="24"/>
          <w:highlight w:val="none"/>
          <w:lang w:val="zh-CN" w:eastAsia="zh-Hans"/>
        </w:rPr>
      </w:pPr>
      <w:r>
        <w:rPr>
          <w:rFonts w:hint="eastAsia" w:ascii="宋体" w:hAnsi="宋体" w:eastAsia="宋体" w:cs="宋体"/>
          <w:bCs/>
          <w:sz w:val="24"/>
          <w:highlight w:val="none"/>
          <w:lang w:val="en-US" w:eastAsia="zh-CN"/>
        </w:rPr>
        <w:t>8.3</w:t>
      </w:r>
      <w:r>
        <w:rPr>
          <w:rFonts w:hint="eastAsia" w:ascii="宋体" w:hAnsi="宋体" w:eastAsia="宋体" w:cs="宋体"/>
          <w:bCs/>
          <w:sz w:val="24"/>
          <w:highlight w:val="none"/>
          <w:lang w:val="zh-CN" w:eastAsia="zh-Hans"/>
        </w:rPr>
        <w:t>云平台支持对虚拟机CPU、内存、存储、带宽进行实时监控，并支持自定义告警规则。</w:t>
      </w:r>
    </w:p>
    <w:p w14:paraId="577DB389">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textAlignment w:val="auto"/>
        <w:rPr>
          <w:rFonts w:ascii="宋体" w:hAnsi="宋体" w:eastAsia="宋体" w:cs="宋体"/>
          <w:bCs/>
          <w:sz w:val="24"/>
          <w:highlight w:val="none"/>
          <w:lang w:val="zh-CN" w:eastAsia="zh-Hans"/>
        </w:rPr>
      </w:pPr>
      <w:r>
        <w:rPr>
          <w:rFonts w:hint="eastAsia" w:ascii="宋体" w:hAnsi="宋体" w:eastAsia="宋体" w:cs="宋体"/>
          <w:bCs/>
          <w:sz w:val="24"/>
          <w:highlight w:val="none"/>
          <w:lang w:val="en-US" w:eastAsia="zh-CN"/>
        </w:rPr>
        <w:t>8.4</w:t>
      </w:r>
      <w:r>
        <w:rPr>
          <w:rFonts w:hint="eastAsia" w:ascii="宋体" w:hAnsi="宋体" w:eastAsia="宋体" w:cs="宋体"/>
          <w:bCs/>
          <w:sz w:val="24"/>
          <w:highlight w:val="none"/>
          <w:lang w:val="zh-CN" w:eastAsia="zh-Hans"/>
        </w:rPr>
        <w:t>云平台提供备份/快照功能，能对云平台中的物理和虚拟服务器进行备份，防止存储故障导致数据丢失。</w:t>
      </w:r>
    </w:p>
    <w:p w14:paraId="75CB0FEB">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ascii="宋体" w:hAnsi="宋体" w:eastAsia="宋体" w:cs="宋体"/>
          <w:bCs/>
          <w:sz w:val="24"/>
          <w:highlight w:val="none"/>
          <w:lang w:val="zh-CN" w:eastAsia="zh-Hans"/>
        </w:rPr>
      </w:pPr>
      <w:r>
        <w:rPr>
          <w:rFonts w:hint="eastAsia" w:ascii="宋体" w:hAnsi="宋体" w:eastAsia="宋体" w:cs="宋体"/>
          <w:bCs/>
          <w:sz w:val="24"/>
          <w:highlight w:val="none"/>
          <w:lang w:val="en-US" w:eastAsia="zh-CN"/>
        </w:rPr>
        <w:t>8.5</w:t>
      </w:r>
      <w:r>
        <w:rPr>
          <w:rFonts w:hint="eastAsia" w:ascii="宋体" w:hAnsi="宋体" w:eastAsia="宋体" w:cs="宋体"/>
          <w:bCs/>
          <w:sz w:val="24"/>
          <w:highlight w:val="none"/>
          <w:lang w:val="zh-CN" w:eastAsia="zh-Hans"/>
        </w:rPr>
        <w:t>云管平台支持图形化管理，支持自动生成资源使用的数据报表。</w:t>
      </w:r>
    </w:p>
    <w:p w14:paraId="35DE6B71">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ascii="宋体" w:hAnsi="宋体" w:eastAsia="宋体" w:cs="宋体"/>
          <w:sz w:val="24"/>
          <w:highlight w:val="none"/>
        </w:rPr>
      </w:pPr>
      <w:r>
        <w:rPr>
          <w:rFonts w:hint="eastAsia" w:ascii="宋体" w:hAnsi="宋体" w:eastAsia="宋体" w:cs="宋体"/>
          <w:bCs/>
          <w:sz w:val="24"/>
          <w:highlight w:val="none"/>
          <w:lang w:val="en-US" w:eastAsia="zh-CN"/>
        </w:rPr>
        <w:t>8.6</w:t>
      </w:r>
      <w:r>
        <w:rPr>
          <w:rFonts w:hint="eastAsia" w:ascii="宋体" w:hAnsi="宋体" w:eastAsia="宋体" w:cs="宋体"/>
          <w:bCs/>
          <w:sz w:val="24"/>
          <w:highlight w:val="none"/>
          <w:lang w:val="zh-CN" w:eastAsia="zh-Hans"/>
        </w:rPr>
        <w:t>云平台应具备为计算单元提供授时时钟源的能力。</w:t>
      </w:r>
    </w:p>
    <w:p w14:paraId="6478F8A5">
      <w:pPr>
        <w:keepNext w:val="0"/>
        <w:keepLines w:val="0"/>
        <w:pageBreakBefore w:val="0"/>
        <w:widowControl w:val="0"/>
        <w:kinsoku/>
        <w:wordWrap/>
        <w:overflowPunct/>
        <w:topLinePunct w:val="0"/>
        <w:autoSpaceDE/>
        <w:autoSpaceDN/>
        <w:bidi w:val="0"/>
        <w:adjustRightInd/>
        <w:snapToGrid w:val="0"/>
        <w:spacing w:line="400" w:lineRule="exact"/>
        <w:ind w:firstLine="444" w:firstLineChars="185"/>
        <w:jc w:val="left"/>
        <w:textAlignment w:val="auto"/>
        <w:rPr>
          <w:rFonts w:ascii="宋体" w:hAnsi="宋体" w:eastAsia="宋体" w:cs="宋体"/>
          <w:sz w:val="24"/>
          <w:highlight w:val="none"/>
        </w:rPr>
      </w:pPr>
    </w:p>
    <w:p w14:paraId="24895C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16772"/>
    <w:multiLevelType w:val="singleLevel"/>
    <w:tmpl w:val="DB616772"/>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277A15"/>
    <w:multiLevelType w:val="singleLevel"/>
    <w:tmpl w:val="39277A15"/>
    <w:lvl w:ilvl="0" w:tentative="0">
      <w:start w:val="5"/>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8463B"/>
    <w:rsid w:val="16DB67F7"/>
    <w:rsid w:val="21657A7F"/>
    <w:rsid w:val="4D77476D"/>
    <w:rsid w:val="6E58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6277</Words>
  <Characters>6712</Characters>
  <Lines>0</Lines>
  <Paragraphs>0</Paragraphs>
  <TotalTime>0</TotalTime>
  <ScaleCrop>false</ScaleCrop>
  <LinksUpToDate>false</LinksUpToDate>
  <CharactersWithSpaces>6754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2026-05-22T07:10:00Z</dcterms:created>
  <dc:creator>栋</dc:creator>
  <cp:lastModifiedBy>栋</cp:lastModifiedBy>
  <dcterms:modified xsi:type="dcterms:W3CDTF">2026-07-16T01:52:59Z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2E6A5D8AA6D44D759656E818246BE367_11</vt:lpwstr>
  </property>
  <property fmtid="{D5CDD505-2E9C-101B-9397-08002B2CF9AE}" pid="4" name="KSOTemplateDocerSaveRecord">
    <vt:lpwstr>eyJoZGlkIjoiOTU5MTdjOGU3ZmY4YzIwMmE0NTgwNDBkMTdmMjJiYTUiLCJ1c2VySWQiOiI0NTA3NDAzODYifQ==</vt:lpwstr>
  </property>
</Properties>
</file>